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306" w:tblpY="-158"/>
        <w:tblW w:w="10548" w:type="dxa"/>
        <w:tblBorders>
          <w:bottom w:val="single" w:sz="8" w:space="0" w:color="F79646"/>
          <w:insideH w:val="single" w:sz="4" w:space="0" w:color="F79646"/>
        </w:tblBorders>
        <w:tblLayout w:type="fixed"/>
        <w:tblLook w:val="00A0" w:firstRow="1" w:lastRow="0" w:firstColumn="1" w:lastColumn="0" w:noHBand="0" w:noVBand="0"/>
      </w:tblPr>
      <w:tblGrid>
        <w:gridCol w:w="1161"/>
        <w:gridCol w:w="6264"/>
        <w:gridCol w:w="3123"/>
      </w:tblGrid>
      <w:tr w:rsidR="008E7244" w:rsidTr="000C4BE6">
        <w:trPr>
          <w:cantSplit/>
          <w:trHeight w:val="903"/>
        </w:trPr>
        <w:tc>
          <w:tcPr>
            <w:tcW w:w="1161" w:type="dxa"/>
            <w:vMerge w:val="restart"/>
            <w:tcBorders>
              <w:top w:val="nil"/>
            </w:tcBorders>
            <w:vAlign w:val="bottom"/>
          </w:tcPr>
          <w:p w:rsidR="008E7244" w:rsidRDefault="00BE6494" w:rsidP="000C4BE6">
            <w:pPr>
              <w:ind w:left="-115"/>
              <w:jc w:val="right"/>
              <w:rPr>
                <w:color w:val="005595"/>
              </w:rPr>
            </w:pPr>
            <w:r>
              <w:rPr>
                <w:noProof/>
                <w:color w:val="005595"/>
              </w:rPr>
              <w:drawing>
                <wp:inline distT="0" distB="0" distL="0" distR="0">
                  <wp:extent cx="598805" cy="598805"/>
                  <wp:effectExtent l="0" t="0" r="0" b="0"/>
                  <wp:docPr id="1" name="Picture 1" descr="SSeal_64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eal_647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8805" cy="598805"/>
                          </a:xfrm>
                          <a:prstGeom prst="rect">
                            <a:avLst/>
                          </a:prstGeom>
                          <a:noFill/>
                          <a:ln>
                            <a:noFill/>
                          </a:ln>
                        </pic:spPr>
                      </pic:pic>
                    </a:graphicData>
                  </a:graphic>
                </wp:inline>
              </w:drawing>
            </w:r>
          </w:p>
        </w:tc>
        <w:tc>
          <w:tcPr>
            <w:tcW w:w="6264" w:type="dxa"/>
            <w:tcBorders>
              <w:top w:val="nil"/>
              <w:bottom w:val="single" w:sz="12" w:space="0" w:color="F79646"/>
            </w:tcBorders>
            <w:vAlign w:val="center"/>
          </w:tcPr>
          <w:p w:rsidR="008E7244" w:rsidRPr="00B23C5D" w:rsidRDefault="008E7244" w:rsidP="00BE6494">
            <w:pPr>
              <w:pStyle w:val="Office"/>
              <w:ind w:left="-101"/>
            </w:pPr>
            <w:r>
              <w:br/>
            </w:r>
            <w:r>
              <w:fldChar w:fldCharType="begin">
                <w:ffData>
                  <w:name w:val=""/>
                  <w:enabled/>
                  <w:calcOnExit w:val="0"/>
                  <w:textInput>
                    <w:default w:val="(Enter) DIVISION (ALL CAPS)"/>
                  </w:textInput>
                </w:ffData>
              </w:fldChar>
            </w:r>
            <w:r>
              <w:instrText xml:space="preserve"> FORMTEXT </w:instrText>
            </w:r>
            <w:r>
              <w:fldChar w:fldCharType="separate"/>
            </w:r>
            <w:r w:rsidR="00BE6494">
              <w:t>PUBLIC HEALTH DIVISION</w:t>
            </w:r>
            <w:r>
              <w:fldChar w:fldCharType="end"/>
            </w:r>
            <w:r>
              <w:br/>
            </w:r>
            <w:r>
              <w:fldChar w:fldCharType="begin">
                <w:ffData>
                  <w:name w:val=""/>
                  <w:enabled/>
                  <w:calcOnExit w:val="0"/>
                  <w:textInput>
                    <w:default w:val="(Enter)  Office, Section or Unit (Mixed Case)"/>
                  </w:textInput>
                </w:ffData>
              </w:fldChar>
            </w:r>
            <w:r>
              <w:instrText xml:space="preserve"> FORMTEXT </w:instrText>
            </w:r>
            <w:r>
              <w:fldChar w:fldCharType="separate"/>
            </w:r>
            <w:r w:rsidR="00BE6494">
              <w:t>Oregon Immunization Program</w:t>
            </w:r>
            <w:r>
              <w:fldChar w:fldCharType="end"/>
            </w:r>
            <w:r>
              <w:t xml:space="preserve"> </w:t>
            </w:r>
          </w:p>
        </w:tc>
        <w:tc>
          <w:tcPr>
            <w:tcW w:w="3123" w:type="dxa"/>
            <w:vMerge w:val="restart"/>
            <w:tcBorders>
              <w:top w:val="nil"/>
            </w:tcBorders>
            <w:vAlign w:val="center"/>
          </w:tcPr>
          <w:p w:rsidR="008E7244" w:rsidRDefault="008E7244" w:rsidP="000C4BE6">
            <w:pPr>
              <w:spacing w:line="60" w:lineRule="exact"/>
            </w:pPr>
          </w:p>
          <w:p w:rsidR="008E7244" w:rsidRDefault="00BE6494" w:rsidP="000C4BE6">
            <w:r>
              <w:rPr>
                <w:noProof/>
              </w:rPr>
              <w:drawing>
                <wp:inline distT="0" distB="0" distL="0" distR="0">
                  <wp:extent cx="1866900" cy="7023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0" cy="702310"/>
                          </a:xfrm>
                          <a:prstGeom prst="rect">
                            <a:avLst/>
                          </a:prstGeom>
                          <a:noFill/>
                          <a:ln>
                            <a:noFill/>
                          </a:ln>
                        </pic:spPr>
                      </pic:pic>
                    </a:graphicData>
                  </a:graphic>
                </wp:inline>
              </w:drawing>
            </w:r>
          </w:p>
        </w:tc>
      </w:tr>
      <w:tr w:rsidR="008E7244" w:rsidTr="000C4BE6">
        <w:trPr>
          <w:cantSplit/>
          <w:trHeight w:val="225"/>
        </w:trPr>
        <w:tc>
          <w:tcPr>
            <w:tcW w:w="1161" w:type="dxa"/>
            <w:vMerge/>
            <w:tcBorders>
              <w:bottom w:val="nil"/>
            </w:tcBorders>
          </w:tcPr>
          <w:p w:rsidR="008E7244" w:rsidRDefault="008E7244" w:rsidP="000C4BE6">
            <w:pPr>
              <w:ind w:left="-108"/>
              <w:rPr>
                <w:color w:val="005595"/>
                <w:sz w:val="18"/>
              </w:rPr>
            </w:pPr>
          </w:p>
        </w:tc>
        <w:tc>
          <w:tcPr>
            <w:tcW w:w="6264" w:type="dxa"/>
            <w:tcBorders>
              <w:top w:val="single" w:sz="12" w:space="0" w:color="F79646"/>
              <w:bottom w:val="nil"/>
            </w:tcBorders>
          </w:tcPr>
          <w:p w:rsidR="008E7244" w:rsidRDefault="00AB3ABE" w:rsidP="000C4BE6">
            <w:pPr>
              <w:pStyle w:val="Governorname"/>
              <w:framePr w:hSpace="0" w:wrap="auto" w:vAnchor="margin" w:hAnchor="text" w:xAlign="left" w:yAlign="inline"/>
              <w:ind w:left="-101"/>
            </w:pPr>
            <w:r>
              <w:t>Kate Brown</w:t>
            </w:r>
            <w:r w:rsidR="008E7244">
              <w:t>, Governor</w:t>
            </w:r>
          </w:p>
        </w:tc>
        <w:tc>
          <w:tcPr>
            <w:tcW w:w="3123" w:type="dxa"/>
            <w:vMerge/>
            <w:tcBorders>
              <w:bottom w:val="nil"/>
            </w:tcBorders>
            <w:vAlign w:val="bottom"/>
          </w:tcPr>
          <w:p w:rsidR="008E7244" w:rsidRDefault="008E7244" w:rsidP="000C4BE6">
            <w:pPr>
              <w:jc w:val="right"/>
            </w:pPr>
          </w:p>
        </w:tc>
      </w:tr>
    </w:tbl>
    <w:p w:rsidR="00EA185B" w:rsidRDefault="00EA185B" w:rsidP="00EA185B">
      <w:pPr>
        <w:tabs>
          <w:tab w:val="left" w:pos="-450"/>
        </w:tabs>
        <w:ind w:right="-360"/>
        <w:rPr>
          <w:rFonts w:ascii="Arial" w:hAnsi="Arial" w:cs="Arial"/>
          <w:sz w:val="16"/>
          <w:szCs w:val="16"/>
        </w:rPr>
      </w:pPr>
    </w:p>
    <w:tbl>
      <w:tblPr>
        <w:tblpPr w:leftFromText="180" w:rightFromText="180" w:vertAnchor="text" w:horzAnchor="margin" w:tblpXSpec="right" w:tblpY="-60"/>
        <w:tblW w:w="0" w:type="auto"/>
        <w:tblLook w:val="04A0" w:firstRow="1" w:lastRow="0" w:firstColumn="1" w:lastColumn="0" w:noHBand="0" w:noVBand="1"/>
      </w:tblPr>
      <w:tblGrid>
        <w:gridCol w:w="5677"/>
      </w:tblGrid>
      <w:tr w:rsidR="005A11A7" w:rsidTr="005F25BB">
        <w:trPr>
          <w:trHeight w:val="1318"/>
        </w:trPr>
        <w:tc>
          <w:tcPr>
            <w:tcW w:w="5677" w:type="dxa"/>
            <w:shd w:val="clear" w:color="auto" w:fill="auto"/>
          </w:tcPr>
          <w:bookmarkStart w:id="0" w:name="Text7"/>
          <w:p w:rsidR="005A11A7" w:rsidRPr="008C5B1D" w:rsidRDefault="005A11A7" w:rsidP="005F25BB">
            <w:pPr>
              <w:pStyle w:val="Address"/>
            </w:pPr>
            <w:r w:rsidRPr="008C5B1D">
              <w:fldChar w:fldCharType="begin">
                <w:ffData>
                  <w:name w:val="Text12"/>
                  <w:enabled/>
                  <w:calcOnExit w:val="0"/>
                  <w:textInput>
                    <w:default w:val="Enter Street Address"/>
                  </w:textInput>
                </w:ffData>
              </w:fldChar>
            </w:r>
            <w:r w:rsidRPr="008C5B1D">
              <w:instrText xml:space="preserve"> FORMTEXT </w:instrText>
            </w:r>
            <w:r w:rsidRPr="008C5B1D">
              <w:fldChar w:fldCharType="separate"/>
            </w:r>
            <w:r w:rsidR="00BE6494">
              <w:rPr>
                <w:noProof/>
              </w:rPr>
              <w:t>800 NE Oregon St. Suite 370</w:t>
            </w:r>
            <w:r w:rsidRPr="008C5B1D">
              <w:fldChar w:fldCharType="end"/>
            </w:r>
          </w:p>
          <w:bookmarkStart w:id="1" w:name="Text13"/>
          <w:p w:rsidR="005A11A7" w:rsidRPr="008C5B1D" w:rsidRDefault="005A11A7" w:rsidP="005F25BB">
            <w:pPr>
              <w:pStyle w:val="Address"/>
            </w:pPr>
            <w:r w:rsidRPr="008C5B1D">
              <w:fldChar w:fldCharType="begin">
                <w:ffData>
                  <w:name w:val="Text13"/>
                  <w:enabled/>
                  <w:calcOnExit w:val="0"/>
                  <w:textInput>
                    <w:default w:val="Enter City, State, ZIP"/>
                  </w:textInput>
                </w:ffData>
              </w:fldChar>
            </w:r>
            <w:r w:rsidRPr="008C5B1D">
              <w:instrText xml:space="preserve"> FORMTEXT </w:instrText>
            </w:r>
            <w:r w:rsidRPr="008C5B1D">
              <w:fldChar w:fldCharType="separate"/>
            </w:r>
            <w:r w:rsidR="00BE6494">
              <w:rPr>
                <w:noProof/>
              </w:rPr>
              <w:t>Portland, OR 97232</w:t>
            </w:r>
            <w:r w:rsidRPr="008C5B1D">
              <w:fldChar w:fldCharType="end"/>
            </w:r>
            <w:bookmarkEnd w:id="1"/>
          </w:p>
          <w:bookmarkStart w:id="2" w:name="Text14"/>
          <w:p w:rsidR="005A11A7" w:rsidRPr="008C5B1D" w:rsidRDefault="005A11A7" w:rsidP="005F25BB">
            <w:pPr>
              <w:pStyle w:val="Address"/>
            </w:pPr>
            <w:r w:rsidRPr="008C5B1D">
              <w:fldChar w:fldCharType="begin">
                <w:ffData>
                  <w:name w:val="Text14"/>
                  <w:enabled/>
                  <w:calcOnExit w:val="0"/>
                  <w:textInput>
                    <w:default w:val="Enter &quot;Voice&quot; and phone number or delete"/>
                  </w:textInput>
                </w:ffData>
              </w:fldChar>
            </w:r>
            <w:r w:rsidRPr="008C5B1D">
              <w:instrText xml:space="preserve"> FORMTEXT </w:instrText>
            </w:r>
            <w:r w:rsidRPr="008C5B1D">
              <w:fldChar w:fldCharType="separate"/>
            </w:r>
            <w:r w:rsidR="00BE6494">
              <w:rPr>
                <w:noProof/>
              </w:rPr>
              <w:t>Voice: 971-673-0300</w:t>
            </w:r>
            <w:r w:rsidRPr="008C5B1D">
              <w:fldChar w:fldCharType="end"/>
            </w:r>
            <w:bookmarkEnd w:id="2"/>
          </w:p>
          <w:bookmarkStart w:id="3" w:name="Text15"/>
          <w:p w:rsidR="005A11A7" w:rsidRPr="008C5B1D" w:rsidRDefault="005A11A7" w:rsidP="005F25BB">
            <w:pPr>
              <w:pStyle w:val="Address"/>
            </w:pPr>
            <w:r w:rsidRPr="008C5B1D">
              <w:fldChar w:fldCharType="begin">
                <w:ffData>
                  <w:name w:val="Text15"/>
                  <w:enabled/>
                  <w:calcOnExit w:val="0"/>
                  <w:textInput>
                    <w:default w:val="Enter &quot;FAX&quot; or &quot;TTY&quot; and phone number or delete"/>
                  </w:textInput>
                </w:ffData>
              </w:fldChar>
            </w:r>
            <w:r w:rsidRPr="008C5B1D">
              <w:instrText xml:space="preserve"> FORMTEXT </w:instrText>
            </w:r>
            <w:r w:rsidRPr="008C5B1D">
              <w:fldChar w:fldCharType="separate"/>
            </w:r>
            <w:r w:rsidR="00BE6494">
              <w:rPr>
                <w:noProof/>
              </w:rPr>
              <w:t>FAX: 971-673-0278</w:t>
            </w:r>
            <w:r w:rsidRPr="008C5B1D">
              <w:fldChar w:fldCharType="end"/>
            </w:r>
            <w:bookmarkEnd w:id="3"/>
          </w:p>
          <w:p w:rsidR="005A11A7" w:rsidRDefault="005A11A7" w:rsidP="005F25BB">
            <w:pPr>
              <w:pStyle w:val="Address"/>
            </w:pPr>
            <w:r w:rsidRPr="008C5B1D">
              <w:fldChar w:fldCharType="begin">
                <w:ffData>
                  <w:name w:val=""/>
                  <w:enabled/>
                  <w:calcOnExit w:val="0"/>
                  <w:textInput>
                    <w:default w:val="Enter website (URL), &quot;TTY&quot; and phone number or delete"/>
                  </w:textInput>
                </w:ffData>
              </w:fldChar>
            </w:r>
            <w:r w:rsidRPr="008C5B1D">
              <w:instrText xml:space="preserve"> FORMTEXT </w:instrText>
            </w:r>
            <w:r w:rsidRPr="008C5B1D">
              <w:fldChar w:fldCharType="separate"/>
            </w:r>
            <w:r w:rsidR="00BE6494">
              <w:rPr>
                <w:noProof/>
              </w:rPr>
              <w:t>www.healthoregon.org/imm</w:t>
            </w:r>
            <w:r w:rsidRPr="008C5B1D">
              <w:fldChar w:fldCharType="end"/>
            </w:r>
          </w:p>
          <w:p w:rsidR="009D3A64" w:rsidRDefault="009D3A64" w:rsidP="005F25BB">
            <w:pPr>
              <w:pStyle w:val="Address"/>
              <w:rPr>
                <w:rStyle w:val="Headersandcontents"/>
              </w:rPr>
            </w:pPr>
          </w:p>
        </w:tc>
      </w:tr>
      <w:bookmarkEnd w:id="0"/>
    </w:tbl>
    <w:p w:rsidR="00614479" w:rsidRDefault="00614479" w:rsidP="00750F69">
      <w:pPr>
        <w:rPr>
          <w:rStyle w:val="Headersandcontents"/>
        </w:rPr>
        <w:sectPr w:rsidR="00614479" w:rsidSect="005A11A7">
          <w:headerReference w:type="even" r:id="rId11"/>
          <w:type w:val="continuous"/>
          <w:pgSz w:w="12240" w:h="15840" w:code="1"/>
          <w:pgMar w:top="720" w:right="1080" w:bottom="720" w:left="1080" w:header="720" w:footer="360" w:gutter="0"/>
          <w:cols w:space="720"/>
          <w:docGrid w:linePitch="272"/>
        </w:sectPr>
      </w:pPr>
    </w:p>
    <w:p w:rsidR="00E67CFE" w:rsidRDefault="00E67CFE" w:rsidP="00750F69">
      <w:pPr>
        <w:rPr>
          <w:rStyle w:val="Headersandcontents"/>
        </w:rPr>
      </w:pPr>
    </w:p>
    <w:p w:rsidR="00E67CFE" w:rsidRDefault="00E67CFE" w:rsidP="00E67CFE">
      <w:pPr>
        <w:tabs>
          <w:tab w:val="left" w:pos="0"/>
          <w:tab w:val="left" w:pos="1620"/>
          <w:tab w:val="left" w:pos="2160"/>
        </w:tabs>
        <w:suppressAutoHyphens/>
        <w:spacing w:line="240" w:lineRule="atLeast"/>
        <w:rPr>
          <w:sz w:val="28"/>
          <w:szCs w:val="28"/>
        </w:rPr>
      </w:pPr>
    </w:p>
    <w:p w:rsidR="00E65FFB" w:rsidRDefault="00E65FFB" w:rsidP="00E67CFE">
      <w:pPr>
        <w:tabs>
          <w:tab w:val="left" w:pos="0"/>
          <w:tab w:val="left" w:pos="1620"/>
          <w:tab w:val="left" w:pos="2160"/>
        </w:tabs>
        <w:suppressAutoHyphens/>
        <w:spacing w:line="240" w:lineRule="atLeast"/>
        <w:rPr>
          <w:sz w:val="28"/>
          <w:szCs w:val="28"/>
        </w:rPr>
      </w:pPr>
    </w:p>
    <w:p w:rsidR="00E67CFE" w:rsidRDefault="00E67CFE" w:rsidP="00E67CFE">
      <w:pPr>
        <w:tabs>
          <w:tab w:val="left" w:pos="0"/>
          <w:tab w:val="left" w:pos="1620"/>
          <w:tab w:val="left" w:pos="2160"/>
        </w:tabs>
        <w:suppressAutoHyphens/>
        <w:spacing w:line="240" w:lineRule="atLeast"/>
        <w:rPr>
          <w:sz w:val="28"/>
          <w:szCs w:val="28"/>
        </w:rPr>
      </w:pPr>
      <w:r>
        <w:rPr>
          <w:sz w:val="28"/>
          <w:szCs w:val="28"/>
        </w:rPr>
        <w:t>Date</w:t>
      </w:r>
      <w:r>
        <w:rPr>
          <w:sz w:val="28"/>
          <w:szCs w:val="28"/>
        </w:rPr>
        <w:tab/>
        <w:t>March 24, 2017</w:t>
      </w:r>
    </w:p>
    <w:p w:rsidR="00E67CFE" w:rsidRDefault="00E67CFE" w:rsidP="00E67CFE">
      <w:pPr>
        <w:tabs>
          <w:tab w:val="left" w:pos="0"/>
          <w:tab w:val="left" w:pos="1620"/>
          <w:tab w:val="left" w:pos="2160"/>
        </w:tabs>
        <w:suppressAutoHyphens/>
        <w:spacing w:line="240" w:lineRule="atLeast"/>
        <w:rPr>
          <w:sz w:val="28"/>
          <w:szCs w:val="28"/>
        </w:rPr>
      </w:pPr>
    </w:p>
    <w:p w:rsidR="00E67CFE" w:rsidRDefault="00E65FFB" w:rsidP="00E67CFE">
      <w:pPr>
        <w:tabs>
          <w:tab w:val="left" w:pos="0"/>
          <w:tab w:val="left" w:pos="1620"/>
          <w:tab w:val="left" w:pos="2160"/>
        </w:tabs>
        <w:suppressAutoHyphens/>
        <w:spacing w:line="240" w:lineRule="atLeast"/>
        <w:rPr>
          <w:sz w:val="28"/>
          <w:szCs w:val="28"/>
        </w:rPr>
      </w:pPr>
      <w:r>
        <w:rPr>
          <w:sz w:val="28"/>
          <w:szCs w:val="28"/>
        </w:rPr>
        <w:t>TO:</w:t>
      </w:r>
      <w:r>
        <w:rPr>
          <w:sz w:val="28"/>
          <w:szCs w:val="28"/>
        </w:rPr>
        <w:tab/>
        <w:t xml:space="preserve">The Honorable Laurie </w:t>
      </w:r>
      <w:r w:rsidR="00E67CFE">
        <w:rPr>
          <w:sz w:val="28"/>
          <w:szCs w:val="28"/>
        </w:rPr>
        <w:t>Monnes Anderson, Chair</w:t>
      </w:r>
    </w:p>
    <w:p w:rsidR="00E67CFE" w:rsidRDefault="00E67CFE" w:rsidP="00E67CFE">
      <w:pPr>
        <w:tabs>
          <w:tab w:val="left" w:pos="0"/>
          <w:tab w:val="left" w:pos="1620"/>
          <w:tab w:val="left" w:pos="2160"/>
        </w:tabs>
        <w:suppressAutoHyphens/>
        <w:spacing w:line="240" w:lineRule="atLeast"/>
        <w:rPr>
          <w:sz w:val="28"/>
          <w:szCs w:val="28"/>
        </w:rPr>
      </w:pPr>
      <w:r>
        <w:rPr>
          <w:sz w:val="28"/>
          <w:szCs w:val="28"/>
        </w:rPr>
        <w:tab/>
        <w:t>Senate Committee on Health Care</w:t>
      </w:r>
    </w:p>
    <w:p w:rsidR="00E67CFE" w:rsidRDefault="00E67CFE" w:rsidP="00E67CFE">
      <w:pPr>
        <w:tabs>
          <w:tab w:val="left" w:pos="0"/>
          <w:tab w:val="left" w:pos="1260"/>
          <w:tab w:val="left" w:pos="1620"/>
          <w:tab w:val="left" w:pos="2160"/>
        </w:tabs>
        <w:suppressAutoHyphens/>
        <w:spacing w:line="240" w:lineRule="atLeast"/>
        <w:rPr>
          <w:sz w:val="28"/>
          <w:szCs w:val="28"/>
        </w:rPr>
      </w:pPr>
    </w:p>
    <w:p w:rsidR="00E67CFE" w:rsidRDefault="00E67CFE" w:rsidP="003C0CF9">
      <w:pPr>
        <w:tabs>
          <w:tab w:val="left" w:pos="0"/>
          <w:tab w:val="left" w:pos="1620"/>
          <w:tab w:val="left" w:pos="2160"/>
        </w:tabs>
        <w:suppressAutoHyphens/>
        <w:spacing w:line="240" w:lineRule="atLeast"/>
        <w:rPr>
          <w:sz w:val="28"/>
          <w:szCs w:val="28"/>
        </w:rPr>
      </w:pPr>
      <w:r>
        <w:rPr>
          <w:sz w:val="28"/>
          <w:szCs w:val="28"/>
        </w:rPr>
        <w:t xml:space="preserve">FROM: </w:t>
      </w:r>
      <w:r>
        <w:rPr>
          <w:sz w:val="28"/>
          <w:szCs w:val="28"/>
        </w:rPr>
        <w:tab/>
        <w:t>Aaron Dunn, Program Manager</w:t>
      </w:r>
    </w:p>
    <w:p w:rsidR="00E67CFE" w:rsidRDefault="00E67CFE" w:rsidP="00E67CFE">
      <w:pPr>
        <w:pStyle w:val="Heading1"/>
      </w:pPr>
      <w:r>
        <w:tab/>
      </w:r>
      <w:r>
        <w:tab/>
      </w:r>
      <w:r w:rsidR="003C0CF9">
        <w:t xml:space="preserve">  Immunization Program</w:t>
      </w:r>
    </w:p>
    <w:p w:rsidR="00E67CFE" w:rsidRDefault="00E67CFE" w:rsidP="00E67CFE">
      <w:pPr>
        <w:pStyle w:val="Heading1"/>
      </w:pPr>
      <w:r>
        <w:tab/>
      </w:r>
      <w:r>
        <w:tab/>
        <w:t xml:space="preserve">  </w:t>
      </w:r>
      <w:r w:rsidR="003C0CF9">
        <w:t xml:space="preserve">Public Health </w:t>
      </w:r>
      <w:r>
        <w:t>Division</w:t>
      </w:r>
    </w:p>
    <w:p w:rsidR="00E67CFE" w:rsidRDefault="003C0CF9" w:rsidP="003C0CF9">
      <w:pPr>
        <w:tabs>
          <w:tab w:val="left" w:pos="0"/>
          <w:tab w:val="left" w:pos="1620"/>
          <w:tab w:val="left" w:pos="2160"/>
        </w:tabs>
        <w:suppressAutoHyphens/>
        <w:spacing w:line="240" w:lineRule="atLeast"/>
        <w:rPr>
          <w:sz w:val="28"/>
          <w:szCs w:val="28"/>
        </w:rPr>
      </w:pPr>
      <w:r>
        <w:rPr>
          <w:sz w:val="28"/>
          <w:szCs w:val="28"/>
        </w:rPr>
        <w:tab/>
      </w:r>
      <w:r w:rsidR="00E67CFE">
        <w:rPr>
          <w:sz w:val="28"/>
          <w:szCs w:val="28"/>
        </w:rPr>
        <w:t>Oregon Health Authority</w:t>
      </w:r>
    </w:p>
    <w:p w:rsidR="00E67CFE" w:rsidRDefault="00E67CFE" w:rsidP="00E67CFE">
      <w:pPr>
        <w:tabs>
          <w:tab w:val="left" w:pos="0"/>
          <w:tab w:val="left" w:pos="360"/>
          <w:tab w:val="left" w:pos="1620"/>
          <w:tab w:val="left" w:pos="1800"/>
          <w:tab w:val="left" w:pos="2160"/>
        </w:tabs>
        <w:suppressAutoHyphens/>
        <w:spacing w:line="240" w:lineRule="atLeast"/>
        <w:ind w:left="1800" w:hanging="1800"/>
        <w:rPr>
          <w:sz w:val="28"/>
          <w:szCs w:val="28"/>
        </w:rPr>
      </w:pPr>
      <w:r>
        <w:rPr>
          <w:sz w:val="28"/>
          <w:szCs w:val="28"/>
        </w:rPr>
        <w:tab/>
      </w:r>
      <w:r>
        <w:rPr>
          <w:sz w:val="28"/>
          <w:szCs w:val="28"/>
        </w:rPr>
        <w:tab/>
      </w:r>
      <w:r w:rsidR="003C0CF9">
        <w:rPr>
          <w:sz w:val="28"/>
          <w:szCs w:val="28"/>
        </w:rPr>
        <w:t>971-673-0318</w:t>
      </w:r>
    </w:p>
    <w:p w:rsidR="00E67CFE" w:rsidRDefault="00E67CFE" w:rsidP="00E67CFE">
      <w:pPr>
        <w:tabs>
          <w:tab w:val="left" w:pos="0"/>
          <w:tab w:val="left" w:pos="1260"/>
          <w:tab w:val="left" w:pos="1620"/>
          <w:tab w:val="left" w:pos="2160"/>
        </w:tabs>
        <w:suppressAutoHyphens/>
        <w:spacing w:line="240" w:lineRule="atLeast"/>
        <w:rPr>
          <w:sz w:val="28"/>
          <w:szCs w:val="28"/>
        </w:rPr>
      </w:pPr>
    </w:p>
    <w:p w:rsidR="00E67CFE" w:rsidRDefault="00E67CFE" w:rsidP="00E67CFE">
      <w:pPr>
        <w:tabs>
          <w:tab w:val="left" w:pos="0"/>
          <w:tab w:val="left" w:pos="1620"/>
          <w:tab w:val="left" w:pos="2160"/>
        </w:tabs>
        <w:suppressAutoHyphens/>
        <w:spacing w:line="240" w:lineRule="atLeast"/>
        <w:rPr>
          <w:sz w:val="28"/>
          <w:szCs w:val="28"/>
        </w:rPr>
      </w:pPr>
      <w:r>
        <w:rPr>
          <w:sz w:val="28"/>
          <w:szCs w:val="28"/>
        </w:rPr>
        <w:t xml:space="preserve">SUBJECT: </w:t>
      </w:r>
      <w:r>
        <w:rPr>
          <w:sz w:val="28"/>
          <w:szCs w:val="28"/>
        </w:rPr>
        <w:tab/>
      </w:r>
      <w:r w:rsidR="00A9054D">
        <w:rPr>
          <w:sz w:val="28"/>
          <w:szCs w:val="28"/>
        </w:rPr>
        <w:t>Senate Bill 869</w:t>
      </w:r>
    </w:p>
    <w:p w:rsidR="003D466A" w:rsidRDefault="003D466A" w:rsidP="00E67CFE">
      <w:pPr>
        <w:tabs>
          <w:tab w:val="left" w:pos="0"/>
          <w:tab w:val="left" w:pos="1620"/>
          <w:tab w:val="left" w:pos="2160"/>
        </w:tabs>
        <w:suppressAutoHyphens/>
        <w:spacing w:line="240" w:lineRule="atLeast"/>
        <w:rPr>
          <w:sz w:val="28"/>
          <w:szCs w:val="28"/>
        </w:rPr>
      </w:pPr>
    </w:p>
    <w:p w:rsidR="00664FD4" w:rsidRDefault="00664FD4" w:rsidP="00664FD4">
      <w:pPr>
        <w:tabs>
          <w:tab w:val="left" w:pos="0"/>
          <w:tab w:val="left" w:pos="1620"/>
          <w:tab w:val="left" w:pos="2160"/>
        </w:tabs>
        <w:suppressAutoHyphens/>
        <w:spacing w:line="240" w:lineRule="atLeast"/>
        <w:rPr>
          <w:sz w:val="28"/>
          <w:szCs w:val="28"/>
        </w:rPr>
      </w:pPr>
      <w:r>
        <w:rPr>
          <w:sz w:val="28"/>
          <w:szCs w:val="28"/>
        </w:rPr>
        <w:t xml:space="preserve">Chair Monnes Anderson and members of the committee, thank you for the opportunity to provide information about informed consent for children’s immunizations. </w:t>
      </w:r>
      <w:r w:rsidR="008C7F8F">
        <w:rPr>
          <w:sz w:val="28"/>
          <w:szCs w:val="28"/>
        </w:rPr>
        <w:t>Senate Bill 869</w:t>
      </w:r>
      <w:r>
        <w:rPr>
          <w:sz w:val="28"/>
          <w:szCs w:val="28"/>
        </w:rPr>
        <w:t xml:space="preserve"> would require medical practitioners to provide a vaccine information statement (VIS) to a parent, guardian, or in some cases, a minor child. The bills also specify that for any vaccine required for school attendance, the risks and benefits be explained.</w:t>
      </w:r>
    </w:p>
    <w:p w:rsidR="00664FD4" w:rsidRDefault="00664FD4" w:rsidP="00664FD4">
      <w:pPr>
        <w:tabs>
          <w:tab w:val="left" w:pos="0"/>
          <w:tab w:val="left" w:pos="1620"/>
          <w:tab w:val="left" w:pos="2160"/>
        </w:tabs>
        <w:suppressAutoHyphens/>
        <w:spacing w:line="240" w:lineRule="atLeast"/>
        <w:rPr>
          <w:sz w:val="28"/>
          <w:szCs w:val="28"/>
        </w:rPr>
      </w:pPr>
    </w:p>
    <w:p w:rsidR="00664FD4" w:rsidRDefault="00664FD4" w:rsidP="00664FD4">
      <w:pPr>
        <w:tabs>
          <w:tab w:val="left" w:pos="0"/>
          <w:tab w:val="left" w:pos="1620"/>
          <w:tab w:val="left" w:pos="2160"/>
        </w:tabs>
        <w:suppressAutoHyphens/>
        <w:spacing w:line="240" w:lineRule="atLeast"/>
        <w:rPr>
          <w:sz w:val="28"/>
          <w:szCs w:val="28"/>
        </w:rPr>
      </w:pPr>
      <w:r>
        <w:rPr>
          <w:sz w:val="28"/>
          <w:szCs w:val="28"/>
        </w:rPr>
        <w:t>These requirements are already addressed in federal law. The National Vaccine Injury Act of 1986 requires medical practitioners to provide a VIS to any person getting a vaccine covered by the act, or in case of a minor, to their guardian. All routinely recommended childhood vaccines are covered by the law. These statements are written by staff of the Centers for Disease Control and Prevention (CDC). They contain a brief description of the disease prevented by the vaccine, the potential risks of receiving the vaccine, common side effects, information on the Vaccine Adverse Event Reporting System and how to get more information about the National Vaccine Injury Compensation Program.</w:t>
      </w:r>
    </w:p>
    <w:p w:rsidR="00664FD4" w:rsidRDefault="00664FD4" w:rsidP="00664FD4">
      <w:pPr>
        <w:tabs>
          <w:tab w:val="left" w:pos="0"/>
          <w:tab w:val="left" w:pos="1620"/>
          <w:tab w:val="left" w:pos="2160"/>
        </w:tabs>
        <w:suppressAutoHyphens/>
        <w:spacing w:line="240" w:lineRule="atLeast"/>
        <w:rPr>
          <w:sz w:val="28"/>
          <w:szCs w:val="28"/>
        </w:rPr>
      </w:pPr>
    </w:p>
    <w:p w:rsidR="00664FD4" w:rsidRDefault="00664FD4" w:rsidP="00664FD4">
      <w:pPr>
        <w:tabs>
          <w:tab w:val="left" w:pos="0"/>
          <w:tab w:val="left" w:pos="1620"/>
          <w:tab w:val="left" w:pos="2160"/>
        </w:tabs>
        <w:suppressAutoHyphens/>
        <w:spacing w:line="240" w:lineRule="atLeast"/>
        <w:rPr>
          <w:sz w:val="28"/>
          <w:szCs w:val="28"/>
        </w:rPr>
      </w:pPr>
      <w:r>
        <w:rPr>
          <w:sz w:val="28"/>
          <w:szCs w:val="28"/>
        </w:rPr>
        <w:t xml:space="preserve">Senate Bill </w:t>
      </w:r>
      <w:r w:rsidR="008C7F8F">
        <w:rPr>
          <w:sz w:val="28"/>
          <w:szCs w:val="28"/>
        </w:rPr>
        <w:t>869</w:t>
      </w:r>
      <w:r>
        <w:rPr>
          <w:sz w:val="28"/>
          <w:szCs w:val="28"/>
        </w:rPr>
        <w:t xml:space="preserve"> would require medical offices to make available for rev</w:t>
      </w:r>
      <w:r w:rsidR="008C7F8F">
        <w:rPr>
          <w:sz w:val="28"/>
          <w:szCs w:val="28"/>
        </w:rPr>
        <w:t>iew the most recent copy of</w:t>
      </w:r>
      <w:r>
        <w:rPr>
          <w:sz w:val="28"/>
          <w:szCs w:val="28"/>
        </w:rPr>
        <w:t xml:space="preserve"> </w:t>
      </w:r>
      <w:r w:rsidR="008C7F8F">
        <w:rPr>
          <w:sz w:val="28"/>
          <w:szCs w:val="28"/>
        </w:rPr>
        <w:t xml:space="preserve">the Vaccine Excipient and Media Summary, published in Appendix B of the </w:t>
      </w:r>
      <w:r>
        <w:rPr>
          <w:sz w:val="28"/>
          <w:szCs w:val="28"/>
        </w:rPr>
        <w:t xml:space="preserve">CDC’s book </w:t>
      </w:r>
      <w:r w:rsidRPr="00F7765F">
        <w:rPr>
          <w:sz w:val="28"/>
          <w:szCs w:val="28"/>
          <w:u w:val="single"/>
        </w:rPr>
        <w:t>Epidemiology and Prevention of Vaccine-Preventable Diseases</w:t>
      </w:r>
      <w:r w:rsidR="008C7F8F">
        <w:rPr>
          <w:sz w:val="28"/>
          <w:szCs w:val="28"/>
        </w:rPr>
        <w:t>.</w:t>
      </w:r>
      <w:bookmarkStart w:id="4" w:name="_GoBack"/>
      <w:bookmarkEnd w:id="4"/>
      <w:r>
        <w:rPr>
          <w:sz w:val="28"/>
          <w:szCs w:val="28"/>
        </w:rPr>
        <w:t xml:space="preserve"> This appendix lists the inactive ingredients present in any vaccine. </w:t>
      </w:r>
    </w:p>
    <w:p w:rsidR="00664FD4" w:rsidRDefault="00664FD4" w:rsidP="00664FD4">
      <w:pPr>
        <w:tabs>
          <w:tab w:val="left" w:pos="0"/>
          <w:tab w:val="left" w:pos="1620"/>
          <w:tab w:val="left" w:pos="2160"/>
        </w:tabs>
        <w:suppressAutoHyphens/>
        <w:spacing w:line="240" w:lineRule="atLeast"/>
        <w:rPr>
          <w:sz w:val="28"/>
          <w:szCs w:val="28"/>
        </w:rPr>
      </w:pPr>
    </w:p>
    <w:p w:rsidR="00664FD4" w:rsidRDefault="00664FD4" w:rsidP="00664FD4">
      <w:pPr>
        <w:tabs>
          <w:tab w:val="left" w:pos="0"/>
          <w:tab w:val="left" w:pos="1620"/>
          <w:tab w:val="left" w:pos="2160"/>
        </w:tabs>
        <w:suppressAutoHyphens/>
        <w:spacing w:line="240" w:lineRule="atLeast"/>
        <w:rPr>
          <w:sz w:val="28"/>
          <w:szCs w:val="28"/>
        </w:rPr>
      </w:pPr>
      <w:r>
        <w:rPr>
          <w:sz w:val="28"/>
          <w:szCs w:val="28"/>
        </w:rPr>
        <w:t xml:space="preserve">Parents certainly need reliable immunization information. The CDC is recognized as the premiere authority on immunizations in the United States, and the materials they produce — such as their Vaccine Information Statements — provide factual information that is </w:t>
      </w:r>
      <w:r>
        <w:rPr>
          <w:sz w:val="28"/>
          <w:szCs w:val="28"/>
        </w:rPr>
        <w:lastRenderedPageBreak/>
        <w:t>relied on by physicians and the public. However, providing a parent too much information can be as disorienting as providing too little. The appendix is an exhaustive list of inactive ingredients that may be found, even in infinitesimally small quantity, in any vaccine — without a listing of just how small a quantity, the rationale for its presence, or evidence for its safety. This information is not balanced by equally exhaustive descriptions of the potential effects of the diseases that the vaccines prevent. Moreover, to our knowledge physicians and pharmacists are required to provide such details routinely about no other injection administered in the office. Expecting parents to sort through detailed information, weighted heavily on the “risk” side of the risk-benefit equation, during the span of a well-child visit may not be fair to child, parent, or physician.</w:t>
      </w:r>
    </w:p>
    <w:p w:rsidR="00664FD4" w:rsidRDefault="00664FD4" w:rsidP="00664FD4">
      <w:pPr>
        <w:tabs>
          <w:tab w:val="left" w:pos="0"/>
          <w:tab w:val="left" w:pos="1620"/>
          <w:tab w:val="left" w:pos="2160"/>
        </w:tabs>
        <w:suppressAutoHyphens/>
        <w:spacing w:line="240" w:lineRule="atLeast"/>
        <w:rPr>
          <w:sz w:val="28"/>
          <w:szCs w:val="28"/>
        </w:rPr>
      </w:pPr>
    </w:p>
    <w:p w:rsidR="00664FD4" w:rsidRDefault="00664FD4" w:rsidP="00664FD4">
      <w:pPr>
        <w:tabs>
          <w:tab w:val="left" w:pos="0"/>
          <w:tab w:val="left" w:pos="1620"/>
          <w:tab w:val="left" w:pos="2160"/>
        </w:tabs>
        <w:suppressAutoHyphens/>
        <w:spacing w:line="240" w:lineRule="atLeast"/>
        <w:rPr>
          <w:sz w:val="28"/>
          <w:szCs w:val="28"/>
        </w:rPr>
      </w:pPr>
      <w:r>
        <w:rPr>
          <w:sz w:val="28"/>
          <w:szCs w:val="28"/>
        </w:rPr>
        <w:t xml:space="preserve">The conversation with parents about vaccines should be steered by the physician based on his or her knowledge of the patient and on the parents’ questions, as long as the requirements of the federal law are met. VISs are provided to take home so that if questions come up, parents can reference the information later. If parents want additional information, all of the resources referenced in this bill are readily available on the internet, free of charge, and can be accessed with a simple online search. </w:t>
      </w:r>
    </w:p>
    <w:p w:rsidR="00664FD4" w:rsidRDefault="00664FD4" w:rsidP="00664FD4">
      <w:pPr>
        <w:tabs>
          <w:tab w:val="left" w:pos="0"/>
          <w:tab w:val="left" w:pos="1620"/>
          <w:tab w:val="left" w:pos="2160"/>
        </w:tabs>
        <w:suppressAutoHyphens/>
        <w:spacing w:line="240" w:lineRule="atLeast"/>
        <w:rPr>
          <w:sz w:val="28"/>
          <w:szCs w:val="28"/>
        </w:rPr>
      </w:pPr>
    </w:p>
    <w:p w:rsidR="00733957" w:rsidRDefault="00733957" w:rsidP="00733957">
      <w:pPr>
        <w:tabs>
          <w:tab w:val="left" w:pos="0"/>
          <w:tab w:val="left" w:pos="1620"/>
          <w:tab w:val="left" w:pos="2160"/>
        </w:tabs>
        <w:suppressAutoHyphens/>
        <w:spacing w:line="240" w:lineRule="atLeast"/>
        <w:rPr>
          <w:sz w:val="28"/>
          <w:szCs w:val="28"/>
        </w:rPr>
      </w:pPr>
      <w:r>
        <w:rPr>
          <w:sz w:val="28"/>
          <w:szCs w:val="28"/>
        </w:rPr>
        <w:t>Oregon has one of the lowest up-to-date rates for two-year olds with only 70% having received all ACIP recommended doses by that age. We are concerned that any additional paperwork required of healthcare providers may further erode our immunization rates.</w:t>
      </w:r>
    </w:p>
    <w:p w:rsidR="00733957" w:rsidRDefault="00733957" w:rsidP="00664FD4">
      <w:pPr>
        <w:tabs>
          <w:tab w:val="left" w:pos="0"/>
          <w:tab w:val="left" w:pos="1620"/>
          <w:tab w:val="left" w:pos="2160"/>
        </w:tabs>
        <w:suppressAutoHyphens/>
        <w:spacing w:line="240" w:lineRule="atLeast"/>
        <w:rPr>
          <w:sz w:val="28"/>
          <w:szCs w:val="28"/>
        </w:rPr>
      </w:pPr>
    </w:p>
    <w:p w:rsidR="00664FD4" w:rsidRDefault="00664FD4" w:rsidP="00664FD4">
      <w:pPr>
        <w:tabs>
          <w:tab w:val="left" w:pos="0"/>
          <w:tab w:val="left" w:pos="1620"/>
          <w:tab w:val="left" w:pos="2160"/>
        </w:tabs>
        <w:suppressAutoHyphens/>
        <w:spacing w:line="240" w:lineRule="atLeast"/>
        <w:rPr>
          <w:sz w:val="28"/>
          <w:szCs w:val="28"/>
        </w:rPr>
      </w:pPr>
      <w:r>
        <w:rPr>
          <w:sz w:val="28"/>
          <w:szCs w:val="28"/>
        </w:rPr>
        <w:t>Thank you for the opportunity to provide testimony. If you would like additional information or have questions, please do not hesitate to contact me.</w:t>
      </w:r>
    </w:p>
    <w:p w:rsidR="00664FD4" w:rsidRDefault="00664FD4" w:rsidP="00664FD4"/>
    <w:p w:rsidR="00C03D24" w:rsidRDefault="00C03D24" w:rsidP="00E67CFE">
      <w:pPr>
        <w:tabs>
          <w:tab w:val="left" w:pos="0"/>
          <w:tab w:val="left" w:pos="1620"/>
          <w:tab w:val="left" w:pos="2160"/>
        </w:tabs>
        <w:suppressAutoHyphens/>
        <w:spacing w:line="240" w:lineRule="atLeast"/>
        <w:rPr>
          <w:sz w:val="28"/>
          <w:szCs w:val="28"/>
        </w:rPr>
      </w:pPr>
    </w:p>
    <w:p w:rsidR="00E67CFE" w:rsidRPr="00E67CFE" w:rsidRDefault="00E67CFE" w:rsidP="00750F69">
      <w:pPr>
        <w:rPr>
          <w:rStyle w:val="Headersandcontents"/>
          <w:rFonts w:ascii="Times New Roman" w:hAnsi="Times New Roman"/>
          <w:sz w:val="28"/>
          <w:szCs w:val="28"/>
        </w:rPr>
      </w:pPr>
    </w:p>
    <w:p w:rsidR="002A2B89" w:rsidRPr="008C5B1D" w:rsidRDefault="002A2B89" w:rsidP="002A2B89">
      <w:pPr>
        <w:rPr>
          <w:rStyle w:val="Headersandcontents"/>
        </w:rPr>
      </w:pPr>
    </w:p>
    <w:sectPr w:rsidR="002A2B89" w:rsidRPr="008C5B1D" w:rsidSect="005A11A7">
      <w:type w:val="continuous"/>
      <w:pgSz w:w="12240" w:h="15840" w:code="1"/>
      <w:pgMar w:top="720" w:right="1080" w:bottom="720" w:left="1080" w:header="720" w:footer="36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AF9" w:rsidRDefault="00133AF9" w:rsidP="000C6F50">
      <w:r>
        <w:separator/>
      </w:r>
    </w:p>
  </w:endnote>
  <w:endnote w:type="continuationSeparator" w:id="0">
    <w:p w:rsidR="00133AF9" w:rsidRDefault="00133AF9" w:rsidP="000C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AF9" w:rsidRDefault="00133AF9" w:rsidP="000C6F50">
      <w:r>
        <w:separator/>
      </w:r>
    </w:p>
  </w:footnote>
  <w:footnote w:type="continuationSeparator" w:id="0">
    <w:p w:rsidR="00133AF9" w:rsidRDefault="00133AF9" w:rsidP="000C6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45D" w:rsidRDefault="006144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455C4"/>
    <w:multiLevelType w:val="hybridMultilevel"/>
    <w:tmpl w:val="F8E61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EE465A"/>
    <w:multiLevelType w:val="hybridMultilevel"/>
    <w:tmpl w:val="45C2B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BA44F8"/>
    <w:multiLevelType w:val="hybridMultilevel"/>
    <w:tmpl w:val="481E3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3879CA"/>
    <w:multiLevelType w:val="hybridMultilevel"/>
    <w:tmpl w:val="205CB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BE1F05"/>
    <w:multiLevelType w:val="hybridMultilevel"/>
    <w:tmpl w:val="68C6C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B84278"/>
    <w:multiLevelType w:val="hybridMultilevel"/>
    <w:tmpl w:val="732AA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FB16ED"/>
    <w:multiLevelType w:val="hybridMultilevel"/>
    <w:tmpl w:val="7FB4C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F30C18"/>
    <w:multiLevelType w:val="hybridMultilevel"/>
    <w:tmpl w:val="3BAA4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B10851"/>
    <w:multiLevelType w:val="hybridMultilevel"/>
    <w:tmpl w:val="81F8A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4"/>
  </w:num>
  <w:num w:numId="6">
    <w:abstractNumId w:val="7"/>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22"/>
    <w:rsid w:val="000516D7"/>
    <w:rsid w:val="000649FE"/>
    <w:rsid w:val="0006615B"/>
    <w:rsid w:val="00070451"/>
    <w:rsid w:val="000C4BE6"/>
    <w:rsid w:val="000C6F50"/>
    <w:rsid w:val="000D39C7"/>
    <w:rsid w:val="000E321D"/>
    <w:rsid w:val="000E36AA"/>
    <w:rsid w:val="000E3E99"/>
    <w:rsid w:val="000E57C0"/>
    <w:rsid w:val="000F0754"/>
    <w:rsid w:val="00133AF9"/>
    <w:rsid w:val="001358C7"/>
    <w:rsid w:val="00152264"/>
    <w:rsid w:val="00170EB8"/>
    <w:rsid w:val="00195ED2"/>
    <w:rsid w:val="001E6761"/>
    <w:rsid w:val="001F5989"/>
    <w:rsid w:val="00211614"/>
    <w:rsid w:val="002161FF"/>
    <w:rsid w:val="00226E8E"/>
    <w:rsid w:val="002425B6"/>
    <w:rsid w:val="002519E1"/>
    <w:rsid w:val="0026168E"/>
    <w:rsid w:val="002A039D"/>
    <w:rsid w:val="002A2B89"/>
    <w:rsid w:val="002A6930"/>
    <w:rsid w:val="002B3674"/>
    <w:rsid w:val="002C0DFC"/>
    <w:rsid w:val="002C69FD"/>
    <w:rsid w:val="003341A1"/>
    <w:rsid w:val="0033555D"/>
    <w:rsid w:val="0036316B"/>
    <w:rsid w:val="00367339"/>
    <w:rsid w:val="003A6B9A"/>
    <w:rsid w:val="003C0CF9"/>
    <w:rsid w:val="003D466A"/>
    <w:rsid w:val="003E4153"/>
    <w:rsid w:val="00416484"/>
    <w:rsid w:val="00424335"/>
    <w:rsid w:val="00437F28"/>
    <w:rsid w:val="00442AA4"/>
    <w:rsid w:val="00453213"/>
    <w:rsid w:val="004D5794"/>
    <w:rsid w:val="004E3F75"/>
    <w:rsid w:val="004F1F57"/>
    <w:rsid w:val="004F58EA"/>
    <w:rsid w:val="005104AC"/>
    <w:rsid w:val="00543A9D"/>
    <w:rsid w:val="0055662B"/>
    <w:rsid w:val="00585B3F"/>
    <w:rsid w:val="005A11A7"/>
    <w:rsid w:val="005B0A5F"/>
    <w:rsid w:val="005B32FC"/>
    <w:rsid w:val="005B526C"/>
    <w:rsid w:val="005E1BA9"/>
    <w:rsid w:val="005F25BB"/>
    <w:rsid w:val="0060050C"/>
    <w:rsid w:val="0061445D"/>
    <w:rsid w:val="00614479"/>
    <w:rsid w:val="0064142D"/>
    <w:rsid w:val="00664FD4"/>
    <w:rsid w:val="0069613B"/>
    <w:rsid w:val="006B43D9"/>
    <w:rsid w:val="006C1135"/>
    <w:rsid w:val="006D6880"/>
    <w:rsid w:val="006E261B"/>
    <w:rsid w:val="006E3F22"/>
    <w:rsid w:val="006F2268"/>
    <w:rsid w:val="006F5DB1"/>
    <w:rsid w:val="00733957"/>
    <w:rsid w:val="00741B97"/>
    <w:rsid w:val="00750F69"/>
    <w:rsid w:val="0075205F"/>
    <w:rsid w:val="0075605F"/>
    <w:rsid w:val="007620B6"/>
    <w:rsid w:val="00766888"/>
    <w:rsid w:val="007B2BE3"/>
    <w:rsid w:val="007C683F"/>
    <w:rsid w:val="007E5ED2"/>
    <w:rsid w:val="00812613"/>
    <w:rsid w:val="00833E80"/>
    <w:rsid w:val="00833FD9"/>
    <w:rsid w:val="00854460"/>
    <w:rsid w:val="008565A2"/>
    <w:rsid w:val="0086236F"/>
    <w:rsid w:val="00862835"/>
    <w:rsid w:val="0087213B"/>
    <w:rsid w:val="008A25AD"/>
    <w:rsid w:val="008A62BE"/>
    <w:rsid w:val="008C5B1D"/>
    <w:rsid w:val="008C7F8F"/>
    <w:rsid w:val="008D0DE6"/>
    <w:rsid w:val="008E7244"/>
    <w:rsid w:val="0091361D"/>
    <w:rsid w:val="00916C43"/>
    <w:rsid w:val="00924213"/>
    <w:rsid w:val="0095648E"/>
    <w:rsid w:val="00972727"/>
    <w:rsid w:val="009A5A79"/>
    <w:rsid w:val="009D3A64"/>
    <w:rsid w:val="009F514C"/>
    <w:rsid w:val="009F6ACB"/>
    <w:rsid w:val="00A00494"/>
    <w:rsid w:val="00A27994"/>
    <w:rsid w:val="00A36A61"/>
    <w:rsid w:val="00A6211C"/>
    <w:rsid w:val="00A73511"/>
    <w:rsid w:val="00A9054D"/>
    <w:rsid w:val="00AB0720"/>
    <w:rsid w:val="00AB3ABE"/>
    <w:rsid w:val="00AB5CAD"/>
    <w:rsid w:val="00AB73F7"/>
    <w:rsid w:val="00AE7A30"/>
    <w:rsid w:val="00B03DB0"/>
    <w:rsid w:val="00B62F27"/>
    <w:rsid w:val="00BA5FF5"/>
    <w:rsid w:val="00BB7B72"/>
    <w:rsid w:val="00BD5F41"/>
    <w:rsid w:val="00BE6494"/>
    <w:rsid w:val="00BF162E"/>
    <w:rsid w:val="00C01BA7"/>
    <w:rsid w:val="00C03D24"/>
    <w:rsid w:val="00C3573B"/>
    <w:rsid w:val="00C76792"/>
    <w:rsid w:val="00D11B86"/>
    <w:rsid w:val="00D22054"/>
    <w:rsid w:val="00D42CE7"/>
    <w:rsid w:val="00D52621"/>
    <w:rsid w:val="00D531A1"/>
    <w:rsid w:val="00D541E0"/>
    <w:rsid w:val="00D64554"/>
    <w:rsid w:val="00D73AD7"/>
    <w:rsid w:val="00DD1618"/>
    <w:rsid w:val="00E06B9D"/>
    <w:rsid w:val="00E152F2"/>
    <w:rsid w:val="00E322E6"/>
    <w:rsid w:val="00E42F36"/>
    <w:rsid w:val="00E64A82"/>
    <w:rsid w:val="00E65FFB"/>
    <w:rsid w:val="00E67CFE"/>
    <w:rsid w:val="00EA0917"/>
    <w:rsid w:val="00EA185B"/>
    <w:rsid w:val="00EA5071"/>
    <w:rsid w:val="00EA7FE5"/>
    <w:rsid w:val="00EF2BDA"/>
    <w:rsid w:val="00EF5316"/>
    <w:rsid w:val="00EF6553"/>
    <w:rsid w:val="00F31CEC"/>
    <w:rsid w:val="00F43904"/>
    <w:rsid w:val="00F73EE7"/>
    <w:rsid w:val="00F7730B"/>
    <w:rsid w:val="00F7765F"/>
    <w:rsid w:val="00F77AEF"/>
    <w:rsid w:val="00F80EF2"/>
    <w:rsid w:val="00F92DF6"/>
    <w:rsid w:val="00FA2882"/>
    <w:rsid w:val="00FD011B"/>
    <w:rsid w:val="00FD5669"/>
    <w:rsid w:val="00FE6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docId w15:val="{B02E5D38-E75E-4683-B513-11DE46D5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bCs/>
      <w:i/>
      <w:iCs/>
      <w:sz w:val="28"/>
    </w:rPr>
  </w:style>
  <w:style w:type="paragraph" w:styleId="Heading3">
    <w:name w:val="heading 3"/>
    <w:basedOn w:val="Normal"/>
    <w:next w:val="Normal"/>
    <w:qFormat/>
    <w:pPr>
      <w:keepNext/>
      <w:outlineLvl w:val="2"/>
    </w:pPr>
    <w:rPr>
      <w:b/>
      <w:bCs/>
      <w:sz w:val="28"/>
    </w:rPr>
  </w:style>
  <w:style w:type="paragraph" w:styleId="Heading6">
    <w:name w:val="heading 6"/>
    <w:basedOn w:val="Normal"/>
    <w:next w:val="Normal"/>
    <w:qFormat/>
    <w:pPr>
      <w:keepNext/>
      <w:outlineLvl w:val="5"/>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sid w:val="002161FF"/>
    <w:rPr>
      <w:rFonts w:ascii="Tahoma" w:hAnsi="Tahoma" w:cs="Tahoma"/>
      <w:sz w:val="16"/>
      <w:szCs w:val="16"/>
    </w:rPr>
  </w:style>
  <w:style w:type="paragraph" w:styleId="Footer">
    <w:name w:val="footer"/>
    <w:basedOn w:val="Normal"/>
    <w:link w:val="FooterChar"/>
    <w:uiPriority w:val="99"/>
    <w:rsid w:val="000C6F50"/>
    <w:pPr>
      <w:tabs>
        <w:tab w:val="center" w:pos="4680"/>
        <w:tab w:val="right" w:pos="9360"/>
      </w:tabs>
    </w:pPr>
  </w:style>
  <w:style w:type="character" w:customStyle="1" w:styleId="FooterChar">
    <w:name w:val="Footer Char"/>
    <w:link w:val="Footer"/>
    <w:uiPriority w:val="99"/>
    <w:rsid w:val="000C6F50"/>
    <w:rPr>
      <w:sz w:val="24"/>
      <w:szCs w:val="24"/>
    </w:rPr>
  </w:style>
  <w:style w:type="paragraph" w:customStyle="1" w:styleId="Governorname">
    <w:name w:val="Governor name"/>
    <w:qFormat/>
    <w:rsid w:val="00A00494"/>
    <w:pPr>
      <w:framePr w:hSpace="180" w:wrap="around" w:vAnchor="text" w:hAnchor="margin" w:x="-306" w:y="-158"/>
      <w:spacing w:before="60"/>
      <w:ind w:left="-115"/>
    </w:pPr>
    <w:rPr>
      <w:rFonts w:ascii="Arial" w:hAnsi="Arial"/>
      <w:color w:val="005595"/>
      <w:w w:val="90"/>
      <w:sz w:val="18"/>
      <w:szCs w:val="24"/>
    </w:rPr>
  </w:style>
  <w:style w:type="paragraph" w:customStyle="1" w:styleId="Address">
    <w:name w:val="Address"/>
    <w:aliases w:val="phone info"/>
    <w:basedOn w:val="Normal"/>
    <w:rsid w:val="008C5B1D"/>
    <w:pPr>
      <w:jc w:val="right"/>
    </w:pPr>
    <w:rPr>
      <w:rFonts w:ascii="Arial" w:hAnsi="Arial"/>
      <w:color w:val="005595"/>
      <w:w w:val="90"/>
      <w:szCs w:val="20"/>
    </w:rPr>
  </w:style>
  <w:style w:type="paragraph" w:customStyle="1" w:styleId="Office">
    <w:name w:val="Office"/>
    <w:aliases w:val="section or unit name"/>
    <w:basedOn w:val="Normal"/>
    <w:qFormat/>
    <w:rsid w:val="008C5B1D"/>
    <w:rPr>
      <w:rFonts w:ascii="Arial" w:hAnsi="Arial"/>
      <w:color w:val="005595"/>
      <w:w w:val="90"/>
      <w:sz w:val="22"/>
      <w:szCs w:val="20"/>
    </w:rPr>
  </w:style>
  <w:style w:type="character" w:customStyle="1" w:styleId="Headersandcontents">
    <w:name w:val="Headers and contents"/>
    <w:rsid w:val="008C5B1D"/>
    <w:rPr>
      <w:rFonts w:ascii="Arial" w:hAnsi="Arial"/>
      <w:w w:val="90"/>
    </w:rPr>
  </w:style>
  <w:style w:type="paragraph" w:customStyle="1" w:styleId="Memoheader">
    <w:name w:val="Memo header"/>
    <w:next w:val="Address"/>
    <w:rsid w:val="0061445D"/>
    <w:rPr>
      <w:rFonts w:ascii="Arial" w:hAnsi="Arial" w:cs="Arial"/>
      <w:b/>
      <w:w w:val="90"/>
      <w:sz w:val="28"/>
      <w:szCs w:val="28"/>
    </w:rPr>
  </w:style>
  <w:style w:type="table" w:styleId="TableGrid">
    <w:name w:val="Table Grid"/>
    <w:basedOn w:val="TableNormal"/>
    <w:rsid w:val="005A1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ELECL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54DB3-5099-4606-9167-EA5C23994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ELECLE~1</Template>
  <TotalTime>0</TotalTime>
  <Pages>2</Pages>
  <Words>601</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OHA Letterhead 10/10</vt:lpstr>
    </vt:vector>
  </TitlesOfParts>
  <Manager>Nicholas Kern OCR</Manager>
  <Company>DAS_TPPS</Company>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OHA Letterhead 10/10</dc:title>
  <dc:subject/>
  <dc:creator>Lynette Sylvester Forms Management</dc:creator>
  <cp:keywords/>
  <dc:description>OHA Letterhead 10/10</dc:description>
  <cp:lastModifiedBy>Timmons Amanda J</cp:lastModifiedBy>
  <cp:revision>2</cp:revision>
  <cp:lastPrinted>2010-10-28T15:35:00Z</cp:lastPrinted>
  <dcterms:created xsi:type="dcterms:W3CDTF">2017-03-22T23:54:00Z</dcterms:created>
  <dcterms:modified xsi:type="dcterms:W3CDTF">2017-03-22T23:54:00Z</dcterms:modified>
</cp:coreProperties>
</file>