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C00F7" w14:textId="417680CA" w:rsidR="00BB0898" w:rsidRDefault="00BB0898" w:rsidP="00FD506D">
      <w:pPr>
        <w:pStyle w:val="Heading2"/>
      </w:pPr>
      <w:r>
        <w:t xml:space="preserve">FACT: </w:t>
      </w:r>
      <w:r w:rsidRPr="00BB0898">
        <w:rPr>
          <w:b/>
          <w:i/>
        </w:rPr>
        <w:t>Vaccines save lives</w:t>
      </w:r>
      <w:r>
        <w:t xml:space="preserve"> and improve the public’s health.</w:t>
      </w:r>
    </w:p>
    <w:p w14:paraId="7A3E43C2" w14:textId="45785A63" w:rsidR="00BB0898" w:rsidRDefault="00BB0898" w:rsidP="00BB0898">
      <w:pPr>
        <w:pStyle w:val="ListParagraph"/>
        <w:numPr>
          <w:ilvl w:val="0"/>
          <w:numId w:val="15"/>
        </w:numPr>
      </w:pPr>
      <w:r>
        <w:t xml:space="preserve">Immunizations </w:t>
      </w:r>
      <w:r w:rsidR="00C31699">
        <w:t xml:space="preserve">are considered one the ten greatest </w:t>
      </w:r>
      <w:r w:rsidR="571B2BF2">
        <w:t xml:space="preserve">public health </w:t>
      </w:r>
      <w:r w:rsidR="00C31699">
        <w:t>achievements of the 20</w:t>
      </w:r>
      <w:r w:rsidR="00C31699" w:rsidRPr="00C31699">
        <w:rPr>
          <w:vertAlign w:val="superscript"/>
        </w:rPr>
        <w:t>th</w:t>
      </w:r>
      <w:r w:rsidR="00C31699">
        <w:t xml:space="preserve"> century </w:t>
      </w:r>
      <w:r w:rsidR="3F4EF919">
        <w:t>because they</w:t>
      </w:r>
      <w:r w:rsidR="00C31699">
        <w:t xml:space="preserve"> improv</w:t>
      </w:r>
      <w:r w:rsidR="50099625">
        <w:t>e</w:t>
      </w:r>
      <w:r w:rsidR="00C31699">
        <w:t xml:space="preserve"> health and life expectancy</w:t>
      </w:r>
      <w:r w:rsidR="0EF328F0">
        <w:t>.</w:t>
      </w:r>
      <w:r w:rsidR="00C31699">
        <w:t xml:space="preserve"> </w:t>
      </w:r>
      <w:r w:rsidR="00C31699">
        <w:rPr>
          <w:rStyle w:val="EndnoteReference"/>
        </w:rPr>
        <w:endnoteReference w:id="1"/>
      </w:r>
    </w:p>
    <w:p w14:paraId="69F84ABD" w14:textId="77777777" w:rsidR="00C31699" w:rsidRDefault="2BCA769C" w:rsidP="00BB0898">
      <w:pPr>
        <w:pStyle w:val="ListParagraph"/>
        <w:numPr>
          <w:ilvl w:val="0"/>
          <w:numId w:val="15"/>
        </w:numPr>
      </w:pPr>
      <w:r>
        <w:t>Because of vaccines, smallpox has been eradicated from the world and polio is extremely close to eradication.</w:t>
      </w:r>
      <w:r w:rsidR="00924419">
        <w:rPr>
          <w:rStyle w:val="EndnoteReference"/>
        </w:rPr>
        <w:endnoteReference w:id="2"/>
      </w:r>
      <w:r>
        <w:rPr>
          <w:vertAlign w:val="superscript"/>
        </w:rPr>
        <w:t>,</w:t>
      </w:r>
      <w:r w:rsidR="00924419">
        <w:rPr>
          <w:rStyle w:val="EndnoteReference"/>
        </w:rPr>
        <w:endnoteReference w:id="3"/>
      </w:r>
      <w:r>
        <w:t xml:space="preserve"> In the U.S., diseases like measles, rubella, tetanus, diphtheria, and Hib are no longer endemic (e.g. a disease is no longer present in a geographic region).</w:t>
      </w:r>
      <w:r w:rsidR="00924419">
        <w:rPr>
          <w:rStyle w:val="EndnoteReference"/>
        </w:rPr>
        <w:endnoteReference w:id="4"/>
      </w:r>
    </w:p>
    <w:p w14:paraId="203FA52C" w14:textId="1AB6008C" w:rsidR="0EE13225" w:rsidRDefault="0EE13225" w:rsidP="67A9E11E">
      <w:pPr>
        <w:pStyle w:val="ListParagraph"/>
        <w:numPr>
          <w:ilvl w:val="0"/>
          <w:numId w:val="15"/>
        </w:numPr>
        <w:rPr>
          <w:rFonts w:eastAsiaTheme="minorEastAsia"/>
        </w:rPr>
      </w:pPr>
      <w:r>
        <w:t>The vaccination of children born between 1994 and 2018 prevented an estimated ~42,000 early deaths and 20 million cases of disease in the U.S.</w:t>
      </w:r>
      <w:r w:rsidRPr="5FDCF3DE">
        <w:rPr>
          <w:rStyle w:val="EndnoteReference"/>
        </w:rPr>
        <w:endnoteReference w:id="5"/>
      </w:r>
    </w:p>
    <w:p w14:paraId="5B0E9A17" w14:textId="77777777" w:rsidR="00084170" w:rsidRDefault="00FD506D" w:rsidP="00FD506D">
      <w:pPr>
        <w:pStyle w:val="Heading2"/>
      </w:pPr>
      <w:r>
        <w:t xml:space="preserve">FACT: Vaccines are </w:t>
      </w:r>
      <w:r w:rsidR="000B27E9">
        <w:rPr>
          <w:b/>
          <w:i/>
        </w:rPr>
        <w:t>s</w:t>
      </w:r>
      <w:r>
        <w:rPr>
          <w:b/>
          <w:i/>
        </w:rPr>
        <w:t>afe</w:t>
      </w:r>
      <w:r>
        <w:t>.</w:t>
      </w:r>
    </w:p>
    <w:p w14:paraId="0068E292" w14:textId="77777777" w:rsidR="00C750C5" w:rsidRDefault="30A805D2" w:rsidP="002C460B">
      <w:pPr>
        <w:pStyle w:val="ListParagraph"/>
        <w:numPr>
          <w:ilvl w:val="0"/>
          <w:numId w:val="14"/>
        </w:numPr>
      </w:pPr>
      <w:r>
        <w:t xml:space="preserve">Vaccines </w:t>
      </w:r>
      <w:r w:rsidR="00C750C5" w:rsidRPr="720DBCFD">
        <w:t>are safe and effective at preventing disease. The U.S. has the safest, most effective vaccine supply in history.</w:t>
      </w:r>
      <w:r w:rsidR="00C750C5" w:rsidRPr="720DBCFD">
        <w:rPr>
          <w:rStyle w:val="EndnoteReference"/>
        </w:rPr>
        <w:t xml:space="preserve"> </w:t>
      </w:r>
      <w:r w:rsidR="00C750C5" w:rsidRPr="720DBCFD">
        <w:rPr>
          <w:rStyle w:val="EndnoteReference"/>
        </w:rPr>
        <w:endnoteReference w:id="6"/>
      </w:r>
    </w:p>
    <w:p w14:paraId="27BC8455" w14:textId="753B5641" w:rsidR="000B27E9" w:rsidRDefault="30A805D2" w:rsidP="002C460B">
      <w:pPr>
        <w:pStyle w:val="ListParagraph"/>
        <w:numPr>
          <w:ilvl w:val="0"/>
          <w:numId w:val="14"/>
        </w:numPr>
      </w:pPr>
      <w:r>
        <w:t>are held to a high safety standard because we give them to healthy people.</w:t>
      </w:r>
    </w:p>
    <w:p w14:paraId="0C2D2EA9" w14:textId="77777777" w:rsidR="002A2ADD" w:rsidRDefault="71F84099" w:rsidP="00217209">
      <w:pPr>
        <w:pStyle w:val="ListParagraph"/>
        <w:numPr>
          <w:ilvl w:val="0"/>
          <w:numId w:val="14"/>
        </w:numPr>
      </w:pPr>
      <w:r>
        <w:t>An analysis of over 1,000 studies by the independent Institute of Medicine found that side effects from vaccines are usually mild and short-lasting</w:t>
      </w:r>
      <w:r w:rsidR="002C460B">
        <w:t>.</w:t>
      </w:r>
      <w:r w:rsidR="002C460B" w:rsidRPr="002C460B">
        <w:rPr>
          <w:rStyle w:val="EndnoteReference"/>
        </w:rPr>
        <w:t xml:space="preserve"> </w:t>
      </w:r>
      <w:r w:rsidR="002C460B">
        <w:rPr>
          <w:rStyle w:val="EndnoteReference"/>
        </w:rPr>
        <w:endnoteReference w:id="7"/>
      </w:r>
      <w:r w:rsidR="002C460B" w:rsidRPr="002C460B">
        <w:t xml:space="preserve"> </w:t>
      </w:r>
      <w:r w:rsidR="002C460B">
        <w:t>Serious side effects from vaccines are extremely rare, som</w:t>
      </w:r>
      <w:bookmarkStart w:id="0" w:name="_GoBack"/>
      <w:bookmarkEnd w:id="0"/>
      <w:r w:rsidR="002C460B">
        <w:t>etimes so rare that it is hard to tell if vaccines actually cause those side effects.</w:t>
      </w:r>
    </w:p>
    <w:p w14:paraId="0C56A7D9" w14:textId="2A514E14" w:rsidR="000B27E9" w:rsidRDefault="368F3153" w:rsidP="00217209">
      <w:pPr>
        <w:pStyle w:val="ListParagraph"/>
        <w:numPr>
          <w:ilvl w:val="0"/>
          <w:numId w:val="14"/>
        </w:numPr>
      </w:pPr>
      <w:r w:rsidRPr="720DBCFD">
        <w:t xml:space="preserve">Millions of children are safely vaccinated each year. </w:t>
      </w:r>
      <w:r w:rsidR="71F84099" w:rsidRPr="720DBCFD">
        <w:t>Another Institute of Medicine report found that the childhood immunization schedule is safe and that children vaccinated on-schedule are not at risk of harm.</w:t>
      </w:r>
      <w:r w:rsidR="002C460B" w:rsidRPr="720DBCFD">
        <w:rPr>
          <w:rStyle w:val="EndnoteReference"/>
        </w:rPr>
        <w:endnoteReference w:id="8"/>
      </w:r>
      <w:r w:rsidRPr="720DBCFD">
        <w:t xml:space="preserve"> Further, many studies over the years have proven that vaccines do not cause autism.</w:t>
      </w:r>
      <w:r w:rsidR="000B27E9" w:rsidRPr="720DBCFD">
        <w:rPr>
          <w:rStyle w:val="EndnoteReference"/>
        </w:rPr>
        <w:endnoteReference w:id="9"/>
      </w:r>
    </w:p>
    <w:p w14:paraId="703C5244" w14:textId="77777777" w:rsidR="000B27E9" w:rsidRPr="000B27E9" w:rsidRDefault="000B27E9" w:rsidP="000B27E9">
      <w:pPr>
        <w:pStyle w:val="Heading2"/>
      </w:pPr>
      <w:r>
        <w:t xml:space="preserve">FACT: Vaccines are thoroughly tested and continuously monitored to assure they are </w:t>
      </w:r>
      <w:r>
        <w:rPr>
          <w:b/>
          <w:i/>
        </w:rPr>
        <w:t>safe</w:t>
      </w:r>
      <w:r>
        <w:t>.</w:t>
      </w:r>
    </w:p>
    <w:p w14:paraId="357C4196" w14:textId="77777777" w:rsidR="002C460B" w:rsidRDefault="002C460B" w:rsidP="00FD506D">
      <w:pPr>
        <w:pStyle w:val="ListParagraph"/>
        <w:numPr>
          <w:ilvl w:val="0"/>
          <w:numId w:val="14"/>
        </w:numPr>
      </w:pPr>
      <w:r w:rsidRPr="720DBCFD">
        <w:t>Vaccines undergo rigorous study on thousands of people before being licensed by the FDA.</w:t>
      </w:r>
      <w:r w:rsidRPr="720DBCFD">
        <w:rPr>
          <w:rStyle w:val="EndnoteReference"/>
        </w:rPr>
        <w:endnoteReference w:id="10"/>
      </w:r>
    </w:p>
    <w:p w14:paraId="6BAEB907" w14:textId="06B11E4F" w:rsidR="000B27E9" w:rsidRDefault="002C460B" w:rsidP="00FD506D">
      <w:pPr>
        <w:pStyle w:val="ListParagraph"/>
        <w:numPr>
          <w:ilvl w:val="0"/>
          <w:numId w:val="14"/>
        </w:numPr>
      </w:pPr>
      <w:r>
        <w:t xml:space="preserve">Even after a vaccine is licensed in the United States, vaccines are </w:t>
      </w:r>
      <w:r w:rsidRPr="15695048">
        <w:rPr>
          <w:i/>
          <w:iCs/>
        </w:rPr>
        <w:t>continuously monitored</w:t>
      </w:r>
      <w:r>
        <w:t xml:space="preserve"> to assure they are both safe and effective. </w:t>
      </w:r>
      <w:r w:rsidR="166C081D">
        <w:t>Safety m</w:t>
      </w:r>
      <w:r>
        <w:t>onitoring system</w:t>
      </w:r>
      <w:r w:rsidR="7F0AD970">
        <w:t>s</w:t>
      </w:r>
      <w:r>
        <w:t xml:space="preserve"> </w:t>
      </w:r>
      <w:r w:rsidR="007F36EC">
        <w:t>includ</w:t>
      </w:r>
      <w:r w:rsidR="22529B4A">
        <w:t>e</w:t>
      </w:r>
      <w:r w:rsidR="007F36EC">
        <w:t>:</w:t>
      </w:r>
    </w:p>
    <w:p w14:paraId="07C1B90A" w14:textId="77777777" w:rsidR="000B27E9" w:rsidRDefault="00BD58C0" w:rsidP="000B27E9">
      <w:pPr>
        <w:pStyle w:val="ListParagraph"/>
        <w:numPr>
          <w:ilvl w:val="1"/>
          <w:numId w:val="14"/>
        </w:numPr>
      </w:pPr>
      <w:hyperlink r:id="rId8" w:history="1">
        <w:r w:rsidR="002C460B" w:rsidRPr="000B27E9">
          <w:rPr>
            <w:rStyle w:val="Hyperlink"/>
          </w:rPr>
          <w:t>Vaccine Adverse Event Reporting System (VAERS)</w:t>
        </w:r>
      </w:hyperlink>
      <w:r w:rsidR="368F3153">
        <w:t>: This system was established to collect and analyze reports of events following vaccination</w:t>
      </w:r>
      <w:r w:rsidR="007F36EC">
        <w:t xml:space="preserve"> and is an early warning system that helps CDC and FDA monitor problems following vaccination</w:t>
      </w:r>
      <w:r w:rsidR="368F3153">
        <w:t xml:space="preserve">. </w:t>
      </w:r>
      <w:r w:rsidR="368F3153" w:rsidRPr="29F87363">
        <w:rPr>
          <w:i/>
          <w:iCs/>
        </w:rPr>
        <w:t xml:space="preserve">Anyone </w:t>
      </w:r>
      <w:r w:rsidR="368F3153">
        <w:t>can submit a report to VAERS.</w:t>
      </w:r>
      <w:r w:rsidR="002C460B">
        <w:t xml:space="preserve"> </w:t>
      </w:r>
      <w:r w:rsidR="368F3153">
        <w:t xml:space="preserve">It is important to note that just because an event is reported to VAERS </w:t>
      </w:r>
      <w:r w:rsidR="368F3153" w:rsidRPr="29F87363">
        <w:rPr>
          <w:i/>
          <w:iCs/>
        </w:rPr>
        <w:t>does not mean the event reported was caused by the vaccine.</w:t>
      </w:r>
      <w:r w:rsidR="368F3153">
        <w:t xml:space="preserve"> Further, providers are required by law to report to VAERS and encouraged to report </w:t>
      </w:r>
      <w:r w:rsidR="368F3153" w:rsidRPr="29F87363">
        <w:rPr>
          <w:i/>
          <w:iCs/>
        </w:rPr>
        <w:t>all</w:t>
      </w:r>
      <w:r w:rsidR="368F3153">
        <w:t xml:space="preserve"> events following vaccination whether or not they believe vaccination was the cause. </w:t>
      </w:r>
      <w:r w:rsidR="368F3153" w:rsidRPr="29F87363">
        <w:rPr>
          <w:i/>
          <w:iCs/>
        </w:rPr>
        <w:t>Reports are used to alert scientists of possible issues that may need to be investigated</w:t>
      </w:r>
      <w:r w:rsidR="368F3153">
        <w:t>. Most reports (85-95%) are described as mild events and include fever, arm soreness, crying (for children) and mild irritability.</w:t>
      </w:r>
      <w:r w:rsidR="000B27E9">
        <w:rPr>
          <w:rStyle w:val="EndnoteReference"/>
        </w:rPr>
        <w:endnoteReference w:id="11"/>
      </w:r>
    </w:p>
    <w:p w14:paraId="7C58E97F" w14:textId="77777777" w:rsidR="002C460B" w:rsidRDefault="00BD58C0" w:rsidP="000B27E9">
      <w:pPr>
        <w:pStyle w:val="ListParagraph"/>
        <w:numPr>
          <w:ilvl w:val="1"/>
          <w:numId w:val="14"/>
        </w:numPr>
      </w:pPr>
      <w:hyperlink r:id="rId9" w:history="1">
        <w:r w:rsidR="002C460B" w:rsidRPr="000B27E9">
          <w:rPr>
            <w:rStyle w:val="Hyperlink"/>
          </w:rPr>
          <w:t>Vaccine Safety Data Link (VSD)</w:t>
        </w:r>
      </w:hyperlink>
      <w:r w:rsidR="368F3153">
        <w:t xml:space="preserve">: </w:t>
      </w:r>
      <w:r w:rsidR="007F36EC">
        <w:t>A collaboration between CDC and several large health care organizations that allow ongoing monitoring and proactive searches of vaccine-related data. This system can help to study rare and serious adverse events following immunization.</w:t>
      </w:r>
      <w:r w:rsidR="007F36EC">
        <w:rPr>
          <w:rStyle w:val="EndnoteReference"/>
        </w:rPr>
        <w:endnoteReference w:id="12"/>
      </w:r>
      <w:r w:rsidR="007F36EC">
        <w:t xml:space="preserve"> </w:t>
      </w:r>
    </w:p>
    <w:p w14:paraId="7144341E" w14:textId="77777777" w:rsidR="007F36EC" w:rsidRDefault="00BD58C0" w:rsidP="000B27E9">
      <w:pPr>
        <w:pStyle w:val="ListParagraph"/>
        <w:numPr>
          <w:ilvl w:val="1"/>
          <w:numId w:val="14"/>
        </w:numPr>
      </w:pPr>
      <w:hyperlink r:id="rId10" w:history="1">
        <w:r w:rsidR="007F36EC" w:rsidRPr="007F36EC">
          <w:rPr>
            <w:rStyle w:val="Hyperlink"/>
          </w:rPr>
          <w:t>Clinical Immunization Safety Assessment (CISA) Project</w:t>
        </w:r>
      </w:hyperlink>
      <w:r w:rsidR="007F36EC">
        <w:t xml:space="preserve">: </w:t>
      </w:r>
      <w:r w:rsidR="00BB0898">
        <w:t>A collaboration between CDC and 7 medical research centers. Vaccine safety experts conduct individual case reviews and high-quality clinical research studies about vaccine safety.</w:t>
      </w:r>
      <w:r w:rsidR="00BB0898">
        <w:rPr>
          <w:rStyle w:val="EndnoteReference"/>
        </w:rPr>
        <w:endnoteReference w:id="13"/>
      </w:r>
    </w:p>
    <w:p w14:paraId="1F0BDACB" w14:textId="65407DDF" w:rsidR="00BB0898" w:rsidRDefault="00BB0898" w:rsidP="000B27E9">
      <w:pPr>
        <w:pStyle w:val="ListParagraph"/>
        <w:numPr>
          <w:ilvl w:val="1"/>
          <w:numId w:val="14"/>
        </w:numPr>
      </w:pPr>
      <w:r>
        <w:lastRenderedPageBreak/>
        <w:t xml:space="preserve">V-SAFE: a new smartphone-based, after vaccination health checker for people who receive a COVID-19 vaccine.  This system is used </w:t>
      </w:r>
      <w:r w:rsidR="350FF465">
        <w:t xml:space="preserve">to </w:t>
      </w:r>
      <w:r>
        <w:t>provide second vaccine dose reminders and telephone follow up to anyone who reports medically significant adverse events.</w:t>
      </w:r>
      <w:r>
        <w:rPr>
          <w:rStyle w:val="EndnoteReference"/>
        </w:rPr>
        <w:endnoteReference w:id="14"/>
      </w:r>
    </w:p>
    <w:p w14:paraId="7D69F6CB" w14:textId="77777777" w:rsidR="000B27E9" w:rsidRDefault="00801D7C" w:rsidP="00801D7C">
      <w:pPr>
        <w:pStyle w:val="Heading2"/>
      </w:pPr>
      <w:r>
        <w:t xml:space="preserve">FACT: Vaccines are </w:t>
      </w:r>
      <w:r>
        <w:rPr>
          <w:b/>
          <w:i/>
        </w:rPr>
        <w:t>cost saving</w:t>
      </w:r>
      <w:r>
        <w:t>.</w:t>
      </w:r>
    </w:p>
    <w:p w14:paraId="6E81E0CC" w14:textId="77777777" w:rsidR="00801D7C" w:rsidRDefault="00801D7C" w:rsidP="00801D7C">
      <w:pPr>
        <w:pStyle w:val="ListParagraph"/>
        <w:numPr>
          <w:ilvl w:val="0"/>
          <w:numId w:val="16"/>
        </w:numPr>
      </w:pPr>
      <w:r>
        <w:t>For every $1 spent on childhood vaccinations, our country saves $10.90.</w:t>
      </w:r>
      <w:r>
        <w:rPr>
          <w:rStyle w:val="EndnoteReference"/>
        </w:rPr>
        <w:endnoteReference w:id="15"/>
      </w:r>
    </w:p>
    <w:p w14:paraId="4B3F0644" w14:textId="77777777" w:rsidR="00801D7C" w:rsidRDefault="00801D7C" w:rsidP="00801D7C">
      <w:pPr>
        <w:pStyle w:val="ListParagraph"/>
        <w:numPr>
          <w:ilvl w:val="0"/>
          <w:numId w:val="16"/>
        </w:numPr>
      </w:pPr>
      <w:r>
        <w:t>CDC estimates that for the vaccination of children born between 1994 and 2018 has saved the U.S. nearly $406 billion in direct medical costs and $1.88 trillion in total society cost.</w:t>
      </w:r>
      <w:r>
        <w:rPr>
          <w:rStyle w:val="EndnoteReference"/>
        </w:rPr>
        <w:endnoteReference w:id="16"/>
      </w:r>
    </w:p>
    <w:p w14:paraId="1DB786D7" w14:textId="6339A36C" w:rsidR="00801D7C" w:rsidRDefault="00DB223B" w:rsidP="00801D7C">
      <w:pPr>
        <w:pStyle w:val="ListParagraph"/>
        <w:numPr>
          <w:ilvl w:val="0"/>
          <w:numId w:val="16"/>
        </w:numPr>
      </w:pPr>
      <w:r>
        <w:t>In 2017, t</w:t>
      </w:r>
      <w:r w:rsidR="00801D7C">
        <w:t>he Minnesota measles outbreak cost Hennepin County and the State Department of Health $</w:t>
      </w:r>
      <w:r w:rsidR="7933AE76">
        <w:t>2</w:t>
      </w:r>
      <w:r w:rsidR="00801D7C">
        <w:t xml:space="preserve">.3 million to contain. </w:t>
      </w:r>
      <w:r>
        <w:t>These costs do not include the amount incurred by private or the indirect costs paid for by individuals and families due to lost days of work or ongoing care.</w:t>
      </w:r>
      <w:r>
        <w:rPr>
          <w:rStyle w:val="EndnoteReference"/>
        </w:rPr>
        <w:endnoteReference w:id="17"/>
      </w:r>
    </w:p>
    <w:p w14:paraId="4A9D00FC" w14:textId="77777777" w:rsidR="00DB223B" w:rsidRPr="00801D7C" w:rsidRDefault="00DB223B" w:rsidP="00801D7C">
      <w:pPr>
        <w:pStyle w:val="ListParagraph"/>
        <w:numPr>
          <w:ilvl w:val="0"/>
          <w:numId w:val="16"/>
        </w:numPr>
      </w:pPr>
      <w:r>
        <w:t>Protecting our older population from infectious disease is also critical. Each year our country spends nearly $27 billion treating adults for diseases that could have easily been prevented through vaccination.</w:t>
      </w:r>
      <w:r>
        <w:rPr>
          <w:rStyle w:val="EndnoteReference"/>
        </w:rPr>
        <w:endnoteReference w:id="18"/>
      </w:r>
    </w:p>
    <w:p w14:paraId="718D83E6" w14:textId="78005134" w:rsidR="4BE927FF" w:rsidRDefault="4BE927FF" w:rsidP="15695048">
      <w:pPr>
        <w:pStyle w:val="Heading2"/>
      </w:pPr>
      <w:r>
        <w:t>FACT: Th</w:t>
      </w:r>
      <w:r w:rsidR="0F0D4879">
        <w:t xml:space="preserve">e </w:t>
      </w:r>
      <w:r w:rsidR="0F0D4879" w:rsidRPr="525D4209">
        <w:rPr>
          <w:b/>
          <w:bCs/>
          <w:i/>
          <w:iCs/>
        </w:rPr>
        <w:t>vast majority</w:t>
      </w:r>
      <w:r w:rsidR="0F0D4879">
        <w:t xml:space="preserve"> of parents vaccinate their children.</w:t>
      </w:r>
    </w:p>
    <w:p w14:paraId="53121793" w14:textId="555D5AAF" w:rsidR="15695048" w:rsidRDefault="514D1922" w:rsidP="525D4209">
      <w:pPr>
        <w:pStyle w:val="ListParagraph"/>
        <w:numPr>
          <w:ilvl w:val="0"/>
          <w:numId w:val="11"/>
        </w:numPr>
        <w:rPr>
          <w:rFonts w:eastAsiaTheme="minorEastAsia"/>
        </w:rPr>
      </w:pPr>
      <w:r>
        <w:t xml:space="preserve">Among children born in 2016 and 2017 in the United States, </w:t>
      </w:r>
      <w:r w:rsidRPr="29F87363">
        <w:rPr>
          <w:i/>
          <w:iCs/>
        </w:rPr>
        <w:t>only 1.2% of children had no vaccinations by age 24 months</w:t>
      </w:r>
      <w:r>
        <w:t>.</w:t>
      </w:r>
      <w:r w:rsidR="15695048" w:rsidRPr="5FDCF3DE">
        <w:rPr>
          <w:rStyle w:val="EndnoteReference"/>
        </w:rPr>
        <w:endnoteReference w:id="19"/>
      </w:r>
      <w:r>
        <w:t xml:space="preserve"> </w:t>
      </w:r>
    </w:p>
    <w:p w14:paraId="494A747C" w14:textId="7E25C691" w:rsidR="6EE53B10" w:rsidRDefault="6EE53B10" w:rsidP="29F87363">
      <w:pPr>
        <w:pStyle w:val="ListParagraph"/>
        <w:numPr>
          <w:ilvl w:val="0"/>
          <w:numId w:val="11"/>
        </w:numPr>
      </w:pPr>
      <w:r>
        <w:t>In 2019, 97.7% of children in North Dakota less than 6 years of age had at least one dose in the state immunization registry.</w:t>
      </w:r>
    </w:p>
    <w:p w14:paraId="54D396A0" w14:textId="2E22F794" w:rsidR="77A88BA8" w:rsidRDefault="77A88BA8" w:rsidP="525D4209">
      <w:pPr>
        <w:pStyle w:val="ListParagraph"/>
        <w:numPr>
          <w:ilvl w:val="0"/>
          <w:numId w:val="11"/>
        </w:numPr>
      </w:pPr>
      <w:r>
        <w:t>Nearly 90% of Americans say it is important for parents to have their children vaccinated.</w:t>
      </w:r>
      <w:r w:rsidRPr="525D4209">
        <w:rPr>
          <w:rStyle w:val="EndnoteReference"/>
        </w:rPr>
        <w:endnoteReference w:id="20"/>
      </w:r>
    </w:p>
    <w:p w14:paraId="3AA9047F" w14:textId="34A601DC" w:rsidR="00FD506D" w:rsidRDefault="5C94DFE2" w:rsidP="5FDCF3DE">
      <w:pPr>
        <w:pStyle w:val="Heading2"/>
      </w:pPr>
      <w:r>
        <w:t xml:space="preserve">FACT: Vaccines protect </w:t>
      </w:r>
      <w:r w:rsidR="1891C891">
        <w:t>you and your community.</w:t>
      </w:r>
    </w:p>
    <w:p w14:paraId="2A49F712" w14:textId="02807FB5" w:rsidR="00FD506D" w:rsidRDefault="1891C891" w:rsidP="5FDCF3DE">
      <w:pPr>
        <w:pStyle w:val="ListParagraph"/>
        <w:numPr>
          <w:ilvl w:val="0"/>
          <w:numId w:val="9"/>
        </w:numPr>
        <w:rPr>
          <w:rFonts w:eastAsiaTheme="minorEastAsia"/>
        </w:rPr>
      </w:pPr>
      <w:r>
        <w:t>Vaccines work in two ways: they protect the person being vaccinated, and they protect those who cannot be vaccinated from getting the disease.</w:t>
      </w:r>
      <w:r w:rsidR="568677F6">
        <w:t xml:space="preserve"> </w:t>
      </w:r>
    </w:p>
    <w:p w14:paraId="009F45A5" w14:textId="15026568" w:rsidR="00FD506D" w:rsidRDefault="568677F6" w:rsidP="5FDCF3DE">
      <w:pPr>
        <w:pStyle w:val="ListParagraph"/>
        <w:numPr>
          <w:ilvl w:val="0"/>
          <w:numId w:val="9"/>
        </w:numPr>
      </w:pPr>
      <w:r>
        <w:t xml:space="preserve">When most of the population is immune to a disease, </w:t>
      </w:r>
      <w:r w:rsidR="508F6392">
        <w:t>they protect those who cannot be immunized. This is often referred to as herd or community immunity.</w:t>
      </w:r>
      <w:r w:rsidR="00CA2B7A" w:rsidRPr="720DBCFD">
        <w:rPr>
          <w:rStyle w:val="EndnoteReference"/>
        </w:rPr>
        <w:endnoteReference w:id="21"/>
      </w:r>
    </w:p>
    <w:p w14:paraId="64114541" w14:textId="01BBDFBE" w:rsidR="00FD506D" w:rsidRDefault="1891C891" w:rsidP="5FDCF3DE">
      <w:pPr>
        <w:pStyle w:val="ListParagraph"/>
        <w:numPr>
          <w:ilvl w:val="0"/>
          <w:numId w:val="9"/>
        </w:numPr>
      </w:pPr>
      <w:r>
        <w:t>There is a small group of people who can’t be vaccinated. For example, som</w:t>
      </w:r>
      <w:r w:rsidR="4FF8A6FB">
        <w:t>e</w:t>
      </w:r>
      <w:r>
        <w:t xml:space="preserve"> people are allergic to vaccine ingredients. Some people may be immunocompromised due to pregnancy or cancer treatments</w:t>
      </w:r>
      <w:r w:rsidR="2A12C619">
        <w:t>.</w:t>
      </w:r>
      <w:r w:rsidR="759CCE36">
        <w:t xml:space="preserve"> </w:t>
      </w:r>
      <w:r w:rsidR="511395B4">
        <w:t xml:space="preserve">Some children are too young to receive certain vaccines. </w:t>
      </w:r>
      <w:r w:rsidR="759CCE36">
        <w:t>People who can’t be vaccinated rely on people around them to get the vaccine instead.</w:t>
      </w:r>
      <w:r w:rsidR="00CA2B7A" w:rsidRPr="720DBCFD">
        <w:rPr>
          <w:rStyle w:val="EndnoteReference"/>
        </w:rPr>
        <w:endnoteReference w:id="22"/>
      </w:r>
    </w:p>
    <w:p w14:paraId="1BCF86C8" w14:textId="34599F21" w:rsidR="00FD506D" w:rsidRDefault="2A12C619" w:rsidP="5FDCF3DE">
      <w:pPr>
        <w:pStyle w:val="ListParagraph"/>
        <w:numPr>
          <w:ilvl w:val="0"/>
          <w:numId w:val="9"/>
        </w:numPr>
      </w:pPr>
      <w:r>
        <w:t xml:space="preserve">Vaccines are not 100% effective. </w:t>
      </w:r>
      <w:r w:rsidR="1891C891">
        <w:t xml:space="preserve">Some people, even if they are vaccinated, will not create an immune response to the vaccine. </w:t>
      </w:r>
      <w:r w:rsidR="27F8B8C2">
        <w:t>If enough people get vaccinated, we can protect those who don’t create an immune response after they’ve been vaccinated.</w:t>
      </w:r>
      <w:r w:rsidR="00CA2B7A" w:rsidRPr="720DBCFD">
        <w:rPr>
          <w:rStyle w:val="EndnoteReference"/>
        </w:rPr>
        <w:endnoteReference w:id="23"/>
      </w:r>
    </w:p>
    <w:p w14:paraId="6CABBCC2" w14:textId="07E36F0F" w:rsidR="00FD506D" w:rsidRDefault="220CDEFE" w:rsidP="5FDCF3DE">
      <w:pPr>
        <w:pStyle w:val="Heading2"/>
      </w:pPr>
      <w:r>
        <w:t>FACT: Although many vaccine-preventable diseases are no longer common in the United States, we are still at risk.</w:t>
      </w:r>
    </w:p>
    <w:p w14:paraId="5E622194" w14:textId="212181C3" w:rsidR="00FD506D" w:rsidRDefault="220CDEFE" w:rsidP="29F87363">
      <w:pPr>
        <w:pStyle w:val="ListParagraph"/>
        <w:numPr>
          <w:ilvl w:val="0"/>
          <w:numId w:val="18"/>
        </w:numPr>
      </w:pPr>
      <w:r>
        <w:t>Many diseases (ex, measles, rubella, polio) may no longer be common in the U.S., but if we let ourselves become vulnerable by not vaccinating, an outbreak could be just a plane ride away.</w:t>
      </w:r>
      <w:r w:rsidR="00CA2B7A" w:rsidRPr="29F87363">
        <w:rPr>
          <w:rStyle w:val="EndnoteReference"/>
        </w:rPr>
        <w:endnoteReference w:id="24"/>
      </w:r>
    </w:p>
    <w:p w14:paraId="704E2BDE" w14:textId="3D8E3451" w:rsidR="00FD506D" w:rsidRDefault="00CA2B7A" w:rsidP="29F87363">
      <w:pPr>
        <w:pStyle w:val="Heading2"/>
        <w:rPr>
          <w:b/>
          <w:bCs/>
          <w:i/>
          <w:iCs/>
        </w:rPr>
      </w:pPr>
      <w:r>
        <w:t xml:space="preserve">FACT: Vaccine </w:t>
      </w:r>
      <w:r w:rsidR="2044BC2A">
        <w:t>r</w:t>
      </w:r>
      <w:r>
        <w:t xml:space="preserve">equirements for licensed childcare centers and schools </w:t>
      </w:r>
      <w:r w:rsidR="00D761C6" w:rsidRPr="29F87363">
        <w:rPr>
          <w:b/>
          <w:bCs/>
          <w:i/>
          <w:iCs/>
        </w:rPr>
        <w:t>protect children</w:t>
      </w:r>
      <w:r w:rsidR="00245E4C" w:rsidRPr="29F87363">
        <w:rPr>
          <w:b/>
          <w:bCs/>
          <w:i/>
          <w:iCs/>
        </w:rPr>
        <w:t xml:space="preserve"> and our community</w:t>
      </w:r>
      <w:r w:rsidR="00D761C6" w:rsidRPr="29F87363">
        <w:rPr>
          <w:b/>
          <w:bCs/>
          <w:i/>
          <w:iCs/>
        </w:rPr>
        <w:t>.</w:t>
      </w:r>
    </w:p>
    <w:p w14:paraId="1A1A116B" w14:textId="0B4ED25B" w:rsidR="00D761C6" w:rsidRPr="00D761C6" w:rsidRDefault="00D761C6" w:rsidP="5FDCF3DE">
      <w:pPr>
        <w:pStyle w:val="ListParagraph"/>
        <w:numPr>
          <w:ilvl w:val="0"/>
          <w:numId w:val="17"/>
        </w:numPr>
      </w:pPr>
      <w:r>
        <w:t>All 50 state</w:t>
      </w:r>
      <w:r w:rsidRPr="720DBCFD">
        <w:t xml:space="preserve">s require children </w:t>
      </w:r>
      <w:r w:rsidR="00245E4C" w:rsidRPr="720DBCFD">
        <w:t>t</w:t>
      </w:r>
      <w:r w:rsidRPr="720DBCFD">
        <w:t>o receive immunizations before attending school.</w:t>
      </w:r>
      <w:r w:rsidR="00245E4C" w:rsidRPr="720DBCFD">
        <w:rPr>
          <w:rStyle w:val="EndnoteReference"/>
        </w:rPr>
        <w:endnoteReference w:id="25"/>
      </w:r>
    </w:p>
    <w:p w14:paraId="6708E0E9" w14:textId="28C56050" w:rsidR="26F72D32" w:rsidRDefault="26F72D32" w:rsidP="525D4209">
      <w:pPr>
        <w:pStyle w:val="ListParagraph"/>
        <w:numPr>
          <w:ilvl w:val="0"/>
          <w:numId w:val="17"/>
        </w:numPr>
        <w:rPr>
          <w:rFonts w:eastAsiaTheme="minorEastAsia"/>
        </w:rPr>
      </w:pPr>
      <w:r>
        <w:lastRenderedPageBreak/>
        <w:t>State vaccination requirements for children enrolled in childcare facilities and school have helped achieve high vaccination coverage rates, and in turn, lower rates of vaccine-preventable diseases.</w:t>
      </w:r>
      <w:r w:rsidRPr="5FDCF3DE">
        <w:rPr>
          <w:rStyle w:val="EndnoteReference"/>
        </w:rPr>
        <w:endnoteReference w:id="26"/>
      </w:r>
    </w:p>
    <w:p w14:paraId="7E162124" w14:textId="7B6A3D9D" w:rsidR="00D761C6" w:rsidRDefault="2FF8BEA4" w:rsidP="00D761C6">
      <w:pPr>
        <w:pStyle w:val="ListParagraph"/>
        <w:numPr>
          <w:ilvl w:val="0"/>
          <w:numId w:val="17"/>
        </w:numPr>
      </w:pPr>
      <w:r>
        <w:t xml:space="preserve">Diseases can spread quickly in schools and childcare facilities. </w:t>
      </w:r>
      <w:r w:rsidR="00D761C6">
        <w:t xml:space="preserve">Maintaining high immunization coverage levels can </w:t>
      </w:r>
      <w:r w:rsidR="00D761C6" w:rsidRPr="29F87363">
        <w:rPr>
          <w:i/>
          <w:iCs/>
        </w:rPr>
        <w:t>significantly reduce</w:t>
      </w:r>
      <w:r w:rsidR="00D761C6">
        <w:t xml:space="preserve"> or </w:t>
      </w:r>
      <w:r w:rsidR="00D761C6" w:rsidRPr="29F87363">
        <w:rPr>
          <w:i/>
          <w:iCs/>
        </w:rPr>
        <w:t>eliminate</w:t>
      </w:r>
      <w:r w:rsidR="00D761C6">
        <w:t xml:space="preserve"> vaccine-preventable diseases in schools and communities.</w:t>
      </w:r>
      <w:r w:rsidR="00245E4C">
        <w:rPr>
          <w:rStyle w:val="EndnoteReference"/>
        </w:rPr>
        <w:endnoteReference w:id="27"/>
      </w:r>
    </w:p>
    <w:p w14:paraId="6A2107B0" w14:textId="7718234B" w:rsidR="48B0C6FE" w:rsidRDefault="48B0C6FE" w:rsidP="5FDCF3DE">
      <w:pPr>
        <w:pStyle w:val="ListParagraph"/>
        <w:numPr>
          <w:ilvl w:val="0"/>
          <w:numId w:val="17"/>
        </w:numPr>
      </w:pPr>
      <w:r>
        <w:t xml:space="preserve">North Dakota requires the following immunizations for </w:t>
      </w:r>
      <w:r w:rsidR="0535E3E6">
        <w:t>child</w:t>
      </w:r>
      <w:r>
        <w:t xml:space="preserve">care and school entry: </w:t>
      </w:r>
    </w:p>
    <w:p w14:paraId="3849F1C2" w14:textId="3FDEB941" w:rsidR="48B0C6FE" w:rsidRDefault="48B0C6FE" w:rsidP="525D4209">
      <w:pPr>
        <w:pStyle w:val="ListParagraph"/>
        <w:numPr>
          <w:ilvl w:val="1"/>
          <w:numId w:val="17"/>
        </w:numPr>
        <w:rPr>
          <w:rFonts w:eastAsiaTheme="minorEastAsia"/>
        </w:rPr>
      </w:pPr>
      <w:r>
        <w:t xml:space="preserve">Childcare: </w:t>
      </w:r>
      <w:r w:rsidR="15006A4C">
        <w:t xml:space="preserve">MMR (measles, mumps, rubella), varicella, hepatitis A, rotavirus, </w:t>
      </w:r>
      <w:r w:rsidR="15006A4C" w:rsidRPr="29F87363">
        <w:rPr>
          <w:i/>
          <w:iCs/>
        </w:rPr>
        <w:t>Haemophilus influenza</w:t>
      </w:r>
      <w:r w:rsidR="15006A4C">
        <w:t xml:space="preserve"> type B, hepatitis B, polio, pneumococcal, DTaP (diphtheria, tetanus and pertussis)</w:t>
      </w:r>
      <w:r w:rsidRPr="5FDCF3DE">
        <w:rPr>
          <w:rStyle w:val="EndnoteReference"/>
        </w:rPr>
        <w:endnoteReference w:id="28"/>
      </w:r>
    </w:p>
    <w:p w14:paraId="50552A48" w14:textId="205E644C" w:rsidR="48B0C6FE" w:rsidRDefault="48B0C6FE" w:rsidP="5FDCF3DE">
      <w:pPr>
        <w:pStyle w:val="ListParagraph"/>
        <w:numPr>
          <w:ilvl w:val="1"/>
          <w:numId w:val="17"/>
        </w:numPr>
      </w:pPr>
      <w:r>
        <w:t>School</w:t>
      </w:r>
      <w:r w:rsidRPr="5FDCF3DE">
        <w:rPr>
          <w:rStyle w:val="EndnoteReference"/>
        </w:rPr>
        <w:endnoteReference w:id="29"/>
      </w:r>
    </w:p>
    <w:p w14:paraId="1C6DBDF5" w14:textId="6904E2D5" w:rsidR="6A514F31" w:rsidRDefault="6A514F31" w:rsidP="5FDCF3DE">
      <w:pPr>
        <w:pStyle w:val="ListParagraph"/>
        <w:numPr>
          <w:ilvl w:val="2"/>
          <w:numId w:val="17"/>
        </w:numPr>
      </w:pPr>
      <w:r>
        <w:t>Kindergarten – 6</w:t>
      </w:r>
      <w:r w:rsidRPr="5FDCF3DE">
        <w:rPr>
          <w:vertAlign w:val="superscript"/>
        </w:rPr>
        <w:t>th</w:t>
      </w:r>
      <w:r>
        <w:t xml:space="preserve"> Grade: </w:t>
      </w:r>
      <w:r w:rsidR="48B0C6FE">
        <w:t>DTaP, polio, MMR, hepatitis B, and chick</w:t>
      </w:r>
      <w:r w:rsidR="315BC3A6">
        <w:t>enpox</w:t>
      </w:r>
    </w:p>
    <w:p w14:paraId="01C0304E" w14:textId="190E66D2" w:rsidR="228F9DFF" w:rsidRDefault="228F9DFF" w:rsidP="5FDCF3DE">
      <w:pPr>
        <w:pStyle w:val="ListParagraph"/>
        <w:numPr>
          <w:ilvl w:val="2"/>
          <w:numId w:val="17"/>
        </w:numPr>
      </w:pPr>
      <w:r>
        <w:t>7</w:t>
      </w:r>
      <w:r w:rsidRPr="5FDCF3DE">
        <w:rPr>
          <w:vertAlign w:val="superscript"/>
        </w:rPr>
        <w:t>th</w:t>
      </w:r>
      <w:r>
        <w:t xml:space="preserve"> - 12</w:t>
      </w:r>
      <w:r w:rsidRPr="5FDCF3DE">
        <w:rPr>
          <w:vertAlign w:val="superscript"/>
        </w:rPr>
        <w:t>th</w:t>
      </w:r>
      <w:r>
        <w:t xml:space="preserve"> Grade: Tdap (tetanus, diphtheria and pertussis booster), meningococcal ACWY (1 dose for grades 7-10, 2 doses for grades 11-12)</w:t>
      </w:r>
    </w:p>
    <w:p w14:paraId="653AB956" w14:textId="0044FCA1" w:rsidR="7F2D45F0" w:rsidRDefault="7F2D45F0" w:rsidP="5FDCF3DE">
      <w:pPr>
        <w:pStyle w:val="Heading2"/>
      </w:pPr>
      <w:r>
        <w:t xml:space="preserve">FACT: North Dakota kindergarten immunization rates are </w:t>
      </w:r>
      <w:r w:rsidRPr="5FDCF3DE">
        <w:rPr>
          <w:b/>
          <w:bCs/>
          <w:i/>
          <w:iCs/>
        </w:rPr>
        <w:t>below</w:t>
      </w:r>
      <w:r>
        <w:t xml:space="preserve"> the rate required to protect our community and schools from measles.</w:t>
      </w:r>
    </w:p>
    <w:p w14:paraId="18CA81BA" w14:textId="0898CD03" w:rsidR="7F2D45F0" w:rsidRDefault="7F2D45F0" w:rsidP="5FDCF3DE">
      <w:pPr>
        <w:pStyle w:val="ListParagraph"/>
        <w:numPr>
          <w:ilvl w:val="0"/>
          <w:numId w:val="18"/>
        </w:numPr>
      </w:pPr>
      <w:r>
        <w:t xml:space="preserve">Preliminary school immunization rates from the 2020-2021 school year show that 93.22% of kindergarten students were </w:t>
      </w:r>
      <w:r w:rsidR="1EE7B9FF">
        <w:t>up to date</w:t>
      </w:r>
      <w:r>
        <w:t xml:space="preserve"> for the measles, mumps, and rubella (MMR) vaccine. </w:t>
      </w:r>
      <w:r w:rsidRPr="29F87363">
        <w:rPr>
          <w:i/>
          <w:iCs/>
        </w:rPr>
        <w:t>This is a decline from the previous school year</w:t>
      </w:r>
      <w:r>
        <w:t>, where the rate was 94.75%. To prevent outbreaks of measles, which is a highly contagious disease, experts recommend a 95% vaccination rate.</w:t>
      </w:r>
    </w:p>
    <w:p w14:paraId="36806B5A" w14:textId="7844E90E" w:rsidR="7F2D45F0" w:rsidRDefault="7F2D45F0" w:rsidP="5FDCF3DE">
      <w:pPr>
        <w:pStyle w:val="ListParagraph"/>
        <w:numPr>
          <w:ilvl w:val="0"/>
          <w:numId w:val="18"/>
        </w:numPr>
      </w:pPr>
      <w:r>
        <w:t>North Dakota ranked 2</w:t>
      </w:r>
      <w:r w:rsidR="0F20799A">
        <w:t>1st</w:t>
      </w:r>
      <w:r>
        <w:t xml:space="preserve"> in the nation for </w:t>
      </w:r>
      <w:r w:rsidR="1CF2CF37">
        <w:t>kindergarten</w:t>
      </w:r>
      <w:r>
        <w:t xml:space="preserve"> MMR</w:t>
      </w:r>
      <w:r w:rsidR="5B48EF84">
        <w:t xml:space="preserve"> vaccination</w:t>
      </w:r>
      <w:r>
        <w:t xml:space="preserve"> rates for the 201</w:t>
      </w:r>
      <w:r w:rsidR="0C4FB711">
        <w:t>9</w:t>
      </w:r>
      <w:r>
        <w:t>-20</w:t>
      </w:r>
      <w:r w:rsidR="05886BE7">
        <w:t>20</w:t>
      </w:r>
      <w:r>
        <w:t xml:space="preserve"> school year.</w:t>
      </w:r>
      <w:r w:rsidRPr="5FDCF3DE">
        <w:rPr>
          <w:rStyle w:val="EndnoteReference"/>
        </w:rPr>
        <w:endnoteReference w:id="30"/>
      </w:r>
    </w:p>
    <w:p w14:paraId="0D4A42BD" w14:textId="1B27D86C" w:rsidR="00245E4C" w:rsidRDefault="7F9C0E9A" w:rsidP="00C2204C">
      <w:pPr>
        <w:pStyle w:val="Heading2"/>
      </w:pPr>
      <w:r>
        <w:t xml:space="preserve">FACT: Exemption rates </w:t>
      </w:r>
      <w:r w:rsidR="1B5B3B26">
        <w:t>are increasing</w:t>
      </w:r>
      <w:r>
        <w:t xml:space="preserve"> in North Dakota.</w:t>
      </w:r>
    </w:p>
    <w:p w14:paraId="6E04E88F" w14:textId="77777777" w:rsidR="00C2204C" w:rsidRDefault="00C2204C" w:rsidP="00C2204C">
      <w:pPr>
        <w:pStyle w:val="ListParagraph"/>
        <w:numPr>
          <w:ilvl w:val="0"/>
          <w:numId w:val="19"/>
        </w:numPr>
      </w:pPr>
      <w:r>
        <w:t xml:space="preserve">In North Dakota, kindergarten exemption rates have </w:t>
      </w:r>
      <w:r>
        <w:rPr>
          <w:i/>
        </w:rPr>
        <w:t>increased</w:t>
      </w:r>
      <w:r>
        <w:t xml:space="preserve"> most years.</w:t>
      </w:r>
    </w:p>
    <w:p w14:paraId="2AADAAED" w14:textId="668579D8" w:rsidR="00C2204C" w:rsidRDefault="16C3A51D" w:rsidP="5FDCF3DE">
      <w:pPr>
        <w:pStyle w:val="ListParagraph"/>
        <w:numPr>
          <w:ilvl w:val="0"/>
          <w:numId w:val="19"/>
        </w:numPr>
        <w:rPr>
          <w:rFonts w:eastAsiaTheme="minorEastAsia"/>
        </w:rPr>
      </w:pPr>
      <w:r>
        <w:t xml:space="preserve">Since the 2007-2008 school year, North Dakota has seen a 240% increase in exemptions. </w:t>
      </w:r>
    </w:p>
    <w:p w14:paraId="30185415" w14:textId="6DC0D5E9" w:rsidR="00C2204C" w:rsidRDefault="7F9C0E9A" w:rsidP="00C2204C">
      <w:pPr>
        <w:pStyle w:val="ListParagraph"/>
        <w:numPr>
          <w:ilvl w:val="0"/>
          <w:numId w:val="19"/>
        </w:numPr>
      </w:pPr>
      <w:r>
        <w:t>This past school year, personal belief (philosophical</w:t>
      </w:r>
      <w:r w:rsidR="78E1B6CA">
        <w:t xml:space="preserve">/moral, </w:t>
      </w:r>
      <w:r>
        <w:t xml:space="preserve">religious) exemption rates were 3.91% (395 children). </w:t>
      </w:r>
      <w:r w:rsidR="305AF009">
        <w:t xml:space="preserve">This is an increase </w:t>
      </w:r>
      <w:r>
        <w:t>from 3.60% the previous</w:t>
      </w:r>
      <w:r w:rsidR="12BF9DA9">
        <w:t xml:space="preserve"> school</w:t>
      </w:r>
      <w:r>
        <w:t xml:space="preserve"> year. </w:t>
      </w:r>
    </w:p>
    <w:p w14:paraId="0054BDC3" w14:textId="4D3828B2" w:rsidR="01458F39" w:rsidRDefault="01458F39" w:rsidP="5FDCF3DE">
      <w:pPr>
        <w:pStyle w:val="ListParagraph"/>
        <w:numPr>
          <w:ilvl w:val="0"/>
          <w:numId w:val="19"/>
        </w:numPr>
      </w:pPr>
      <w:r>
        <w:t>During the 2019-2020 school year, North Dakota ranked #15 for highest exemption rates in the country.</w:t>
      </w:r>
      <w:r w:rsidRPr="5FDCF3DE">
        <w:rPr>
          <w:rStyle w:val="EndnoteReference"/>
        </w:rPr>
        <w:endnoteReference w:id="31"/>
      </w:r>
    </w:p>
    <w:p w14:paraId="723A2975" w14:textId="648D05E3" w:rsidR="599157AD" w:rsidRDefault="599157AD" w:rsidP="5FDCF3DE">
      <w:pPr>
        <w:pStyle w:val="ListParagraph"/>
        <w:numPr>
          <w:ilvl w:val="0"/>
          <w:numId w:val="19"/>
        </w:numPr>
      </w:pPr>
      <w:r>
        <w:t>North Dakota is one of only 15 states that allow philosophical/moral exemptions for immunization. Further, we are one of the easiest states to claim an exemption, as only a parent signature is required.</w:t>
      </w:r>
      <w:r w:rsidRPr="5FDCF3DE">
        <w:rPr>
          <w:rStyle w:val="EndnoteReference"/>
        </w:rPr>
        <w:endnoteReference w:id="32"/>
      </w:r>
    </w:p>
    <w:p w14:paraId="194991DE" w14:textId="0CD8511F" w:rsidR="00CD4F5F" w:rsidRDefault="39287054" w:rsidP="5FDCF3DE">
      <w:pPr>
        <w:pStyle w:val="ListParagraph"/>
        <w:numPr>
          <w:ilvl w:val="0"/>
          <w:numId w:val="19"/>
        </w:numPr>
      </w:pPr>
      <w:r>
        <w:t>Because exemptions are so easy to claim in our state, many schools and local public health</w:t>
      </w:r>
      <w:r w:rsidR="529DA32E">
        <w:t xml:space="preserve"> units</w:t>
      </w:r>
      <w:r>
        <w:t xml:space="preserve"> are reporting that some of these exemptions are not truly exemptions, </w:t>
      </w:r>
      <w:r w:rsidRPr="5FDCF3DE">
        <w:t>but just parents signing</w:t>
      </w:r>
      <w:r w:rsidR="4764E958" w:rsidRPr="5FDCF3DE">
        <w:t xml:space="preserve"> the form out of convenience when their children haven’t received booster doses or when they can’t get copies of immunization records. </w:t>
      </w:r>
    </w:p>
    <w:p w14:paraId="303F78FA" w14:textId="0E38BE7D" w:rsidR="210FA407" w:rsidRDefault="3BE70D96" w:rsidP="525D4209">
      <w:pPr>
        <w:pStyle w:val="ListParagraph"/>
        <w:numPr>
          <w:ilvl w:val="0"/>
          <w:numId w:val="19"/>
        </w:numPr>
        <w:rPr>
          <w:rFonts w:eastAsiaTheme="minorEastAsia"/>
        </w:rPr>
      </w:pPr>
      <w:r w:rsidRPr="5FDCF3DE">
        <w:rPr>
          <w:rFonts w:ascii="Calibri" w:eastAsia="Calibri" w:hAnsi="Calibri" w:cs="Calibri"/>
        </w:rPr>
        <w:t xml:space="preserve">Children who are </w:t>
      </w:r>
      <w:r w:rsidR="13F1BC14" w:rsidRPr="5FDCF3DE">
        <w:rPr>
          <w:rFonts w:ascii="Calibri" w:eastAsia="Calibri" w:hAnsi="Calibri" w:cs="Calibri"/>
        </w:rPr>
        <w:t xml:space="preserve">unvaccinated and </w:t>
      </w:r>
      <w:r w:rsidRPr="5FDCF3DE">
        <w:rPr>
          <w:rFonts w:ascii="Calibri" w:eastAsia="Calibri" w:hAnsi="Calibri" w:cs="Calibri"/>
        </w:rPr>
        <w:t xml:space="preserve">exempted from vaccine requirements are at significant risk for </w:t>
      </w:r>
      <w:r w:rsidR="21B1F4DD" w:rsidRPr="5FDCF3DE">
        <w:rPr>
          <w:rFonts w:ascii="Calibri" w:eastAsia="Calibri" w:hAnsi="Calibri" w:cs="Calibri"/>
        </w:rPr>
        <w:t xml:space="preserve">a vaccine-preventable </w:t>
      </w:r>
      <w:r w:rsidRPr="5FDCF3DE">
        <w:rPr>
          <w:rFonts w:ascii="Calibri" w:eastAsia="Calibri" w:hAnsi="Calibri" w:cs="Calibri"/>
        </w:rPr>
        <w:t>diseas</w:t>
      </w:r>
      <w:r w:rsidR="744B4E65" w:rsidRPr="5FDCF3DE">
        <w:rPr>
          <w:rFonts w:ascii="Calibri" w:eastAsia="Calibri" w:hAnsi="Calibri" w:cs="Calibri"/>
        </w:rPr>
        <w:t>e.</w:t>
      </w:r>
      <w:r w:rsidR="210FA407" w:rsidRPr="5FDCF3DE">
        <w:rPr>
          <w:rStyle w:val="EndnoteReference"/>
          <w:rFonts w:ascii="Calibri" w:eastAsia="Calibri" w:hAnsi="Calibri" w:cs="Calibri"/>
        </w:rPr>
        <w:endnoteReference w:id="33"/>
      </w:r>
    </w:p>
    <w:p w14:paraId="30D322E4" w14:textId="77777777" w:rsidR="00CD4F5F" w:rsidRPr="00CD4F5F" w:rsidRDefault="39287054" w:rsidP="00C2204C">
      <w:pPr>
        <w:pStyle w:val="ListParagraph"/>
        <w:numPr>
          <w:ilvl w:val="0"/>
          <w:numId w:val="19"/>
        </w:numPr>
      </w:pPr>
      <w:r>
        <w:t xml:space="preserve">NDCC 23-01-17.1 </w:t>
      </w:r>
      <w:r w:rsidRPr="29F87363">
        <w:rPr>
          <w:i/>
          <w:iCs/>
        </w:rPr>
        <w:t>already allows parents to decline immunizations for their children in North Dakota.</w:t>
      </w:r>
      <w:r w:rsidR="00CD4F5F" w:rsidRPr="29F87363">
        <w:rPr>
          <w:rStyle w:val="EndnoteReference"/>
          <w:i/>
          <w:iCs/>
        </w:rPr>
        <w:endnoteReference w:id="34"/>
      </w:r>
    </w:p>
    <w:p w14:paraId="4D4630B1" w14:textId="77777777" w:rsidR="00CD4F5F" w:rsidRDefault="00CD4F5F" w:rsidP="00CD4F5F">
      <w:pPr>
        <w:pStyle w:val="Heading2"/>
        <w:rPr>
          <w:b/>
        </w:rPr>
      </w:pPr>
      <w:r>
        <w:lastRenderedPageBreak/>
        <w:t xml:space="preserve">FACT: Childhood vaccination rates in North Dakota are </w:t>
      </w:r>
      <w:r>
        <w:rPr>
          <w:b/>
          <w:i/>
        </w:rPr>
        <w:t>variable</w:t>
      </w:r>
      <w:r>
        <w:rPr>
          <w:b/>
        </w:rPr>
        <w:t>.</w:t>
      </w:r>
    </w:p>
    <w:p w14:paraId="22A72E15" w14:textId="18E92EAC" w:rsidR="00CD4F5F" w:rsidRDefault="00CD4BA1" w:rsidP="001D15E5">
      <w:pPr>
        <w:pStyle w:val="ListParagraph"/>
        <w:numPr>
          <w:ilvl w:val="0"/>
          <w:numId w:val="20"/>
        </w:numPr>
      </w:pPr>
      <w:r>
        <w:t>Immunization coverage rates cannot be looked at just at a statewide level, but also</w:t>
      </w:r>
      <w:r w:rsidR="619EF421">
        <w:t xml:space="preserve"> need to be</w:t>
      </w:r>
      <w:r>
        <w:t xml:space="preserve"> monitored at a county and school level.</w:t>
      </w:r>
    </w:p>
    <w:p w14:paraId="074DD764" w14:textId="78988A41" w:rsidR="00CD4BA1" w:rsidRDefault="40F976B8" w:rsidP="29F87363">
      <w:pPr>
        <w:pStyle w:val="ListParagraph"/>
        <w:numPr>
          <w:ilvl w:val="1"/>
          <w:numId w:val="18"/>
        </w:numPr>
      </w:pPr>
      <w:r>
        <w:t>County</w:t>
      </w:r>
      <w:r w:rsidR="7140DCD1">
        <w:t>-level</w:t>
      </w:r>
      <w:r>
        <w:t xml:space="preserve"> MMR </w:t>
      </w:r>
      <w:r w:rsidR="2E0BDD73">
        <w:t>immunization</w:t>
      </w:r>
      <w:r>
        <w:t xml:space="preserve"> rates</w:t>
      </w:r>
      <w:r w:rsidR="5142F7A2">
        <w:t xml:space="preserve"> for kindergartners</w:t>
      </w:r>
      <w:r>
        <w:t xml:space="preserve"> range from 75% to 100%. </w:t>
      </w:r>
    </w:p>
    <w:p w14:paraId="31A20CA3" w14:textId="06F22397" w:rsidR="00CD4F5F" w:rsidRDefault="40F976B8" w:rsidP="29F87363">
      <w:pPr>
        <w:pStyle w:val="ListParagraph"/>
        <w:numPr>
          <w:ilvl w:val="1"/>
          <w:numId w:val="18"/>
        </w:numPr>
      </w:pPr>
      <w:r>
        <w:t>School-level MMR</w:t>
      </w:r>
      <w:r w:rsidR="011F99F4">
        <w:t xml:space="preserve"> </w:t>
      </w:r>
      <w:r w:rsidR="6EFAE384">
        <w:t>immunization</w:t>
      </w:r>
      <w:r>
        <w:t xml:space="preserve"> rates</w:t>
      </w:r>
      <w:r w:rsidR="603EB28B">
        <w:t xml:space="preserve"> for kindergartners</w:t>
      </w:r>
      <w:r>
        <w:t xml:space="preserve"> range from 0% to 100%.</w:t>
      </w:r>
    </w:p>
    <w:p w14:paraId="7D59FB7A" w14:textId="51BDDD20" w:rsidR="40F976B8" w:rsidRDefault="40F976B8" w:rsidP="5FDCF3DE">
      <w:pPr>
        <w:pStyle w:val="ListParagraph"/>
        <w:numPr>
          <w:ilvl w:val="0"/>
          <w:numId w:val="18"/>
        </w:numPr>
      </w:pPr>
      <w:r>
        <w:t xml:space="preserve">Without immunization requirements, it is likely that immunization rates would decline, </w:t>
      </w:r>
      <w:r w:rsidRPr="5FDCF3DE">
        <w:rPr>
          <w:i/>
          <w:iCs/>
        </w:rPr>
        <w:t>creating a greater risk for outbreaks.</w:t>
      </w:r>
    </w:p>
    <w:p w14:paraId="725A77DB" w14:textId="685FD946" w:rsidR="1DCD5FBC" w:rsidRDefault="1DCD5FBC" w:rsidP="15695048">
      <w:pPr>
        <w:pStyle w:val="Heading2"/>
        <w:rPr>
          <w:b/>
          <w:bCs/>
        </w:rPr>
      </w:pPr>
      <w:r>
        <w:t xml:space="preserve">FACT: Informed consent is required </w:t>
      </w:r>
      <w:r w:rsidRPr="15695048">
        <w:rPr>
          <w:b/>
          <w:bCs/>
        </w:rPr>
        <w:t>prior</w:t>
      </w:r>
      <w:r>
        <w:t xml:space="preserve"> to administering vaccinations.</w:t>
      </w:r>
    </w:p>
    <w:p w14:paraId="2144C2FD" w14:textId="1F0891BB" w:rsidR="51D9C55B" w:rsidRDefault="499940F5" w:rsidP="525D4209">
      <w:pPr>
        <w:pStyle w:val="ListParagraph"/>
        <w:numPr>
          <w:ilvl w:val="0"/>
          <w:numId w:val="12"/>
        </w:numPr>
        <w:rPr>
          <w:rFonts w:eastAsiaTheme="minorEastAsia"/>
        </w:rPr>
      </w:pPr>
      <w:r>
        <w:t>Federal law requires healthcare providers to provide a Vaccine Information Statement (VIS) prior to administering any vaccination.</w:t>
      </w:r>
      <w:r w:rsidR="713CC41D">
        <w:t xml:space="preserve"> The VIS include</w:t>
      </w:r>
      <w:r w:rsidR="0C673B88">
        <w:t>s</w:t>
      </w:r>
      <w:r w:rsidR="713CC41D">
        <w:t xml:space="preserve"> information on the disease prevented by the vaccine, the risks and benefits of vaccination, common side effects, and how to submit a report to VAERS.</w:t>
      </w:r>
      <w:r w:rsidR="51D9C55B" w:rsidRPr="525D4209">
        <w:rPr>
          <w:rStyle w:val="EndnoteReference"/>
          <w:rFonts w:eastAsiaTheme="minorEastAsia"/>
        </w:rPr>
        <w:endnoteReference w:id="35"/>
      </w:r>
    </w:p>
    <w:p w14:paraId="5BE82F47" w14:textId="74C72D32" w:rsidR="51D9C55B" w:rsidRDefault="51D9C55B" w:rsidP="15695048">
      <w:pPr>
        <w:pStyle w:val="ListParagraph"/>
        <w:numPr>
          <w:ilvl w:val="0"/>
          <w:numId w:val="12"/>
        </w:numPr>
      </w:pPr>
      <w:r>
        <w:t>VISs are readable, updated regularly, and translated for use in 40 languages.</w:t>
      </w:r>
      <w:r w:rsidRPr="720DBCFD">
        <w:rPr>
          <w:rStyle w:val="EndnoteReference"/>
        </w:rPr>
        <w:endnoteReference w:id="36"/>
      </w:r>
    </w:p>
    <w:p w14:paraId="692A6B85" w14:textId="536BFE2B" w:rsidR="51D9C55B" w:rsidRDefault="51D9C55B" w:rsidP="15695048">
      <w:pPr>
        <w:pStyle w:val="ListParagraph"/>
        <w:numPr>
          <w:ilvl w:val="0"/>
          <w:numId w:val="12"/>
        </w:numPr>
      </w:pPr>
      <w:r>
        <w:t>Package inserts are too technical, very lengthy, and may be confusing to the average person.</w:t>
      </w:r>
      <w:r w:rsidRPr="720DBCFD">
        <w:rPr>
          <w:rStyle w:val="EndnoteReference"/>
        </w:rPr>
        <w:endnoteReference w:id="37"/>
      </w:r>
    </w:p>
    <w:p w14:paraId="15DCE7EE" w14:textId="7DA81873" w:rsidR="12775FE2" w:rsidRDefault="6713C9F6" w:rsidP="15695048">
      <w:pPr>
        <w:pStyle w:val="Heading2"/>
      </w:pPr>
      <w:r>
        <w:t xml:space="preserve">FACT: </w:t>
      </w:r>
      <w:r w:rsidR="3201A9CE">
        <w:t>Vaccine manufacturers are liable for negligence</w:t>
      </w:r>
      <w:r w:rsidR="0938844C">
        <w:t xml:space="preserve">, but they are not liable for any unforeseen adverse events following vaccination. </w:t>
      </w:r>
    </w:p>
    <w:p w14:paraId="30F34AF5" w14:textId="67B77B06" w:rsidR="676B1776" w:rsidRDefault="676B1776" w:rsidP="599BBEB9">
      <w:pPr>
        <w:pStyle w:val="Heading2"/>
        <w:numPr>
          <w:ilvl w:val="0"/>
          <w:numId w:val="2"/>
        </w:numPr>
        <w:rPr>
          <w:rFonts w:asciiTheme="minorHAnsi" w:eastAsiaTheme="minorEastAsia" w:hAnsiTheme="minorHAnsi" w:cstheme="minorBidi"/>
          <w:color w:val="000000" w:themeColor="text1"/>
          <w:sz w:val="22"/>
          <w:szCs w:val="22"/>
        </w:rPr>
      </w:pPr>
      <w:r w:rsidRPr="599BBEB9">
        <w:rPr>
          <w:rFonts w:ascii="Calibri" w:eastAsia="Calibri" w:hAnsi="Calibri" w:cs="Calibri"/>
          <w:color w:val="auto"/>
          <w:sz w:val="22"/>
          <w:szCs w:val="22"/>
        </w:rPr>
        <w:t>In the</w:t>
      </w:r>
      <w:r w:rsidR="3631E216" w:rsidRPr="599BBEB9">
        <w:rPr>
          <w:rFonts w:ascii="Calibri" w:eastAsia="Calibri" w:hAnsi="Calibri" w:cs="Calibri"/>
          <w:color w:val="auto"/>
          <w:sz w:val="22"/>
          <w:szCs w:val="22"/>
        </w:rPr>
        <w:t xml:space="preserve"> 19</w:t>
      </w:r>
      <w:r w:rsidR="294E0239" w:rsidRPr="599BBEB9">
        <w:rPr>
          <w:rFonts w:ascii="Calibri" w:eastAsia="Calibri" w:hAnsi="Calibri" w:cs="Calibri"/>
          <w:color w:val="auto"/>
          <w:sz w:val="22"/>
          <w:szCs w:val="22"/>
        </w:rPr>
        <w:t xml:space="preserve">80s, </w:t>
      </w:r>
      <w:r w:rsidR="0D07B030" w:rsidRPr="599BBEB9">
        <w:rPr>
          <w:rFonts w:ascii="Calibri" w:eastAsia="Calibri" w:hAnsi="Calibri" w:cs="Calibri"/>
          <w:color w:val="auto"/>
          <w:sz w:val="22"/>
          <w:szCs w:val="22"/>
        </w:rPr>
        <w:t>a number of parents claimed that the DPT</w:t>
      </w:r>
      <w:r w:rsidR="22872D2E" w:rsidRPr="599BBEB9">
        <w:rPr>
          <w:rFonts w:ascii="Calibri" w:eastAsia="Calibri" w:hAnsi="Calibri" w:cs="Calibri"/>
          <w:color w:val="auto"/>
          <w:sz w:val="22"/>
          <w:szCs w:val="22"/>
        </w:rPr>
        <w:t>/DTP</w:t>
      </w:r>
      <w:r w:rsidR="0D07B030" w:rsidRPr="599BBEB9">
        <w:rPr>
          <w:rFonts w:ascii="Calibri" w:eastAsia="Calibri" w:hAnsi="Calibri" w:cs="Calibri"/>
          <w:color w:val="auto"/>
          <w:sz w:val="22"/>
          <w:szCs w:val="22"/>
        </w:rPr>
        <w:t xml:space="preserve"> (diphtheria, tetanus and pertussis) vaccine </w:t>
      </w:r>
      <w:r w:rsidR="05B8F819" w:rsidRPr="599BBEB9">
        <w:rPr>
          <w:rFonts w:asciiTheme="minorHAnsi" w:eastAsiaTheme="minorEastAsia" w:hAnsiTheme="minorHAnsi" w:cstheme="minorBidi"/>
          <w:color w:val="auto"/>
          <w:sz w:val="22"/>
          <w:szCs w:val="22"/>
        </w:rPr>
        <w:t>w</w:t>
      </w:r>
      <w:r w:rsidR="0D07B030" w:rsidRPr="599BBEB9">
        <w:rPr>
          <w:rFonts w:asciiTheme="minorHAnsi" w:eastAsiaTheme="minorEastAsia" w:hAnsiTheme="minorHAnsi" w:cstheme="minorBidi"/>
          <w:color w:val="auto"/>
          <w:sz w:val="22"/>
          <w:szCs w:val="22"/>
        </w:rPr>
        <w:t xml:space="preserve">as causing permanent brain damage, epilepsy, and mental retardation in children. </w:t>
      </w:r>
      <w:r w:rsidR="15F85027" w:rsidRPr="599BBEB9">
        <w:rPr>
          <w:rFonts w:asciiTheme="minorHAnsi" w:eastAsiaTheme="minorEastAsia" w:hAnsiTheme="minorHAnsi" w:cstheme="minorBidi"/>
          <w:color w:val="auto"/>
          <w:sz w:val="22"/>
          <w:szCs w:val="22"/>
        </w:rPr>
        <w:t>Although t</w:t>
      </w:r>
      <w:r w:rsidR="0D07B030" w:rsidRPr="599BBEB9">
        <w:rPr>
          <w:rFonts w:asciiTheme="minorHAnsi" w:eastAsiaTheme="minorEastAsia" w:hAnsiTheme="minorHAnsi" w:cstheme="minorBidi"/>
          <w:color w:val="auto"/>
          <w:sz w:val="22"/>
          <w:szCs w:val="22"/>
        </w:rPr>
        <w:t>hese claims were unfounded</w:t>
      </w:r>
      <w:r w:rsidR="655979B4" w:rsidRPr="599BBEB9">
        <w:rPr>
          <w:rFonts w:asciiTheme="minorHAnsi" w:eastAsiaTheme="minorEastAsia" w:hAnsiTheme="minorHAnsi" w:cstheme="minorBidi"/>
          <w:color w:val="auto"/>
          <w:sz w:val="22"/>
          <w:szCs w:val="22"/>
        </w:rPr>
        <w:t xml:space="preserve">, the court system provided large settlements to some plaintiffs. </w:t>
      </w:r>
    </w:p>
    <w:p w14:paraId="5F0180F8" w14:textId="06206A32" w:rsidR="12775FE2" w:rsidRDefault="157C3067" w:rsidP="331BD544">
      <w:pPr>
        <w:pStyle w:val="Heading2"/>
        <w:numPr>
          <w:ilvl w:val="0"/>
          <w:numId w:val="2"/>
        </w:numPr>
        <w:rPr>
          <w:rFonts w:asciiTheme="minorHAnsi" w:eastAsiaTheme="minorEastAsia" w:hAnsiTheme="minorHAnsi" w:cstheme="minorBidi"/>
          <w:color w:val="000000" w:themeColor="text1"/>
          <w:sz w:val="22"/>
          <w:szCs w:val="22"/>
        </w:rPr>
      </w:pPr>
      <w:r w:rsidRPr="331BD544">
        <w:rPr>
          <w:rFonts w:asciiTheme="minorHAnsi" w:eastAsiaTheme="minorEastAsia" w:hAnsiTheme="minorHAnsi" w:cstheme="minorBidi"/>
          <w:color w:val="auto"/>
          <w:sz w:val="22"/>
          <w:szCs w:val="22"/>
        </w:rPr>
        <w:t>As a result, d</w:t>
      </w:r>
      <w:r w:rsidR="4D34BFEC" w:rsidRPr="331BD544">
        <w:rPr>
          <w:rFonts w:asciiTheme="minorHAnsi" w:eastAsiaTheme="minorEastAsia" w:hAnsiTheme="minorHAnsi" w:cstheme="minorBidi"/>
          <w:color w:val="auto"/>
          <w:sz w:val="22"/>
          <w:szCs w:val="22"/>
        </w:rPr>
        <w:t>rug manufacturers began to withdraw from vaccine production because not only was the research and development process extremely costly and time-consuming, but the manufacturers were, at that point in time, also liable for any unforeseen and potentially rare injury linked to their vaccine.</w:t>
      </w:r>
      <w:r w:rsidR="784FFF83" w:rsidRPr="331BD544">
        <w:rPr>
          <w:rFonts w:asciiTheme="minorHAnsi" w:eastAsiaTheme="minorEastAsia" w:hAnsiTheme="minorHAnsi" w:cstheme="minorBidi"/>
          <w:color w:val="auto"/>
          <w:sz w:val="22"/>
          <w:szCs w:val="22"/>
        </w:rPr>
        <w:t xml:space="preserve"> </w:t>
      </w:r>
    </w:p>
    <w:p w14:paraId="532972F1" w14:textId="21774BE6" w:rsidR="12775FE2" w:rsidRDefault="7DA41635" w:rsidP="331BD544">
      <w:pPr>
        <w:pStyle w:val="Heading2"/>
        <w:numPr>
          <w:ilvl w:val="0"/>
          <w:numId w:val="2"/>
        </w:numPr>
        <w:rPr>
          <w:color w:val="000000" w:themeColor="text1"/>
          <w:sz w:val="22"/>
          <w:szCs w:val="22"/>
        </w:rPr>
      </w:pPr>
      <w:r w:rsidRPr="599BBEB9">
        <w:rPr>
          <w:rFonts w:asciiTheme="minorHAnsi" w:eastAsiaTheme="minorEastAsia" w:hAnsiTheme="minorHAnsi" w:cstheme="minorBidi"/>
          <w:color w:val="auto"/>
          <w:sz w:val="22"/>
          <w:szCs w:val="22"/>
        </w:rPr>
        <w:t>L</w:t>
      </w:r>
      <w:r w:rsidR="676B1776" w:rsidRPr="599BBEB9">
        <w:rPr>
          <w:rFonts w:asciiTheme="minorHAnsi" w:eastAsiaTheme="minorEastAsia" w:hAnsiTheme="minorHAnsi" w:cstheme="minorBidi"/>
          <w:color w:val="auto"/>
          <w:sz w:val="22"/>
          <w:szCs w:val="22"/>
        </w:rPr>
        <w:t>awsuits were costing both companies and individuals too much time, effort, and money. Pharmaceutical companies were threatening to no longer develop and distribute vaccines. There was worry that this would lead to a lack of innovation and shortages of current vaccines followed by disease resurgence. People claiming vaccine injuries were required to bring cases through the courts to prove inju</w:t>
      </w:r>
      <w:r w:rsidR="6C0ECDAF" w:rsidRPr="599BBEB9">
        <w:rPr>
          <w:rFonts w:asciiTheme="minorHAnsi" w:eastAsiaTheme="minorEastAsia" w:hAnsiTheme="minorHAnsi" w:cstheme="minorBidi"/>
          <w:color w:val="auto"/>
          <w:sz w:val="22"/>
          <w:szCs w:val="22"/>
        </w:rPr>
        <w:t>ry. The process was complicated and costly.</w:t>
      </w:r>
      <w:r w:rsidR="12775FE2" w:rsidRPr="599BBEB9">
        <w:rPr>
          <w:rStyle w:val="EndnoteReference"/>
          <w:rFonts w:asciiTheme="minorHAnsi" w:eastAsiaTheme="minorEastAsia" w:hAnsiTheme="minorHAnsi" w:cstheme="minorBidi"/>
          <w:color w:val="auto"/>
          <w:sz w:val="22"/>
          <w:szCs w:val="22"/>
        </w:rPr>
        <w:endnoteReference w:id="38"/>
      </w:r>
    </w:p>
    <w:p w14:paraId="05E0BD59" w14:textId="256EC12C" w:rsidR="12775FE2" w:rsidRDefault="3201A9CE" w:rsidP="29F87363">
      <w:pPr>
        <w:pStyle w:val="Heading2"/>
        <w:numPr>
          <w:ilvl w:val="0"/>
          <w:numId w:val="2"/>
        </w:numPr>
        <w:rPr>
          <w:color w:val="000000" w:themeColor="text1"/>
          <w:sz w:val="22"/>
          <w:szCs w:val="22"/>
        </w:rPr>
      </w:pPr>
      <w:r w:rsidRPr="29F87363">
        <w:rPr>
          <w:rFonts w:asciiTheme="minorHAnsi" w:eastAsiaTheme="minorEastAsia" w:hAnsiTheme="minorHAnsi" w:cstheme="minorBidi"/>
          <w:color w:val="auto"/>
          <w:sz w:val="22"/>
          <w:szCs w:val="22"/>
        </w:rPr>
        <w:t>The federal government created the National Vaccine Injury Compensation Program</w:t>
      </w:r>
      <w:r w:rsidR="2A628AA4" w:rsidRPr="29F87363">
        <w:rPr>
          <w:rFonts w:asciiTheme="minorHAnsi" w:eastAsiaTheme="minorEastAsia" w:hAnsiTheme="minorHAnsi" w:cstheme="minorBidi"/>
          <w:color w:val="auto"/>
          <w:sz w:val="22"/>
          <w:szCs w:val="22"/>
        </w:rPr>
        <w:t xml:space="preserve"> (NVICP)</w:t>
      </w:r>
      <w:r w:rsidRPr="29F87363">
        <w:rPr>
          <w:rFonts w:asciiTheme="minorHAnsi" w:eastAsiaTheme="minorEastAsia" w:hAnsiTheme="minorHAnsi" w:cstheme="minorBidi"/>
          <w:color w:val="auto"/>
          <w:sz w:val="22"/>
          <w:szCs w:val="22"/>
        </w:rPr>
        <w:t xml:space="preserve"> in</w:t>
      </w:r>
      <w:r w:rsidR="243D51AE" w:rsidRPr="29F87363">
        <w:rPr>
          <w:rFonts w:asciiTheme="minorHAnsi" w:eastAsiaTheme="minorEastAsia" w:hAnsiTheme="minorHAnsi" w:cstheme="minorBidi"/>
          <w:color w:val="auto"/>
          <w:sz w:val="22"/>
          <w:szCs w:val="22"/>
        </w:rPr>
        <w:t xml:space="preserve"> </w:t>
      </w:r>
      <w:r w:rsidRPr="29F87363">
        <w:rPr>
          <w:rFonts w:asciiTheme="minorHAnsi" w:eastAsiaTheme="minorEastAsia" w:hAnsiTheme="minorHAnsi" w:cstheme="minorBidi"/>
          <w:color w:val="auto"/>
          <w:sz w:val="22"/>
          <w:szCs w:val="22"/>
        </w:rPr>
        <w:t>19</w:t>
      </w:r>
      <w:r w:rsidR="4EF7CC48" w:rsidRPr="29F87363">
        <w:rPr>
          <w:rFonts w:asciiTheme="minorHAnsi" w:eastAsiaTheme="minorEastAsia" w:hAnsiTheme="minorHAnsi" w:cstheme="minorBidi"/>
          <w:color w:val="auto"/>
          <w:sz w:val="22"/>
          <w:szCs w:val="22"/>
        </w:rPr>
        <w:t>88</w:t>
      </w:r>
      <w:r w:rsidR="2CFCD6E0" w:rsidRPr="29F87363">
        <w:rPr>
          <w:rFonts w:asciiTheme="minorHAnsi" w:eastAsiaTheme="minorEastAsia" w:hAnsiTheme="minorHAnsi" w:cstheme="minorBidi"/>
          <w:color w:val="auto"/>
          <w:sz w:val="22"/>
          <w:szCs w:val="22"/>
        </w:rPr>
        <w:t xml:space="preserve"> </w:t>
      </w:r>
      <w:r w:rsidR="6D2C6B1F" w:rsidRPr="29F87363">
        <w:rPr>
          <w:rFonts w:asciiTheme="minorHAnsi" w:eastAsiaTheme="minorEastAsia" w:hAnsiTheme="minorHAnsi" w:cstheme="minorBidi"/>
          <w:color w:val="auto"/>
          <w:sz w:val="22"/>
          <w:szCs w:val="22"/>
        </w:rPr>
        <w:t>to make sure that, in the rare cases of serious vaccine side effects, there is a way to file a claim and get compensation without having to go through the complex and costly legal system</w:t>
      </w:r>
      <w:r w:rsidR="6D2C6B1F" w:rsidRPr="29F87363">
        <w:rPr>
          <w:rFonts w:asciiTheme="minorHAnsi" w:eastAsiaTheme="minorEastAsia" w:hAnsiTheme="minorHAnsi" w:cstheme="minorBidi"/>
          <w:color w:val="auto"/>
          <w:sz w:val="20"/>
          <w:szCs w:val="20"/>
        </w:rPr>
        <w:t>.</w:t>
      </w:r>
      <w:r w:rsidR="12775FE2" w:rsidRPr="29F87363">
        <w:rPr>
          <w:rStyle w:val="EndnoteReference"/>
          <w:color w:val="auto"/>
          <w:sz w:val="20"/>
          <w:szCs w:val="20"/>
        </w:rPr>
        <w:endnoteReference w:id="39"/>
      </w:r>
    </w:p>
    <w:p w14:paraId="70D66DA9" w14:textId="623597C4" w:rsidR="12775FE2" w:rsidRDefault="748E2329" w:rsidP="29F87363">
      <w:pPr>
        <w:pStyle w:val="Heading2"/>
        <w:numPr>
          <w:ilvl w:val="1"/>
          <w:numId w:val="2"/>
        </w:numPr>
        <w:rPr>
          <w:color w:val="000000" w:themeColor="text1"/>
          <w:sz w:val="22"/>
          <w:szCs w:val="22"/>
        </w:rPr>
      </w:pPr>
      <w:r w:rsidRPr="29F87363">
        <w:rPr>
          <w:rFonts w:ascii="Calibri" w:eastAsia="Calibri" w:hAnsi="Calibri" w:cs="Calibri"/>
          <w:color w:val="auto"/>
          <w:sz w:val="22"/>
          <w:szCs w:val="22"/>
        </w:rPr>
        <w:t xml:space="preserve">Money for this compensation fund comes from an excise tax paid by pharmaceutical companies on each vaccine dose. </w:t>
      </w:r>
    </w:p>
    <w:p w14:paraId="0E678B58" w14:textId="5C473C06" w:rsidR="12775FE2" w:rsidRDefault="748E2329" w:rsidP="29F87363">
      <w:pPr>
        <w:pStyle w:val="Heading2"/>
        <w:numPr>
          <w:ilvl w:val="1"/>
          <w:numId w:val="2"/>
        </w:numPr>
        <w:rPr>
          <w:color w:val="000000" w:themeColor="text1"/>
          <w:sz w:val="22"/>
          <w:szCs w:val="22"/>
        </w:rPr>
      </w:pPr>
      <w:r w:rsidRPr="29F87363">
        <w:rPr>
          <w:rFonts w:ascii="Calibri" w:eastAsia="Calibri" w:hAnsi="Calibri" w:cs="Calibri"/>
          <w:color w:val="auto"/>
          <w:sz w:val="22"/>
          <w:szCs w:val="22"/>
        </w:rPr>
        <w:t xml:space="preserve">If someone petitions the </w:t>
      </w:r>
      <w:r w:rsidR="4EAE4F28" w:rsidRPr="29F87363">
        <w:rPr>
          <w:rFonts w:ascii="Calibri" w:eastAsia="Calibri" w:hAnsi="Calibri" w:cs="Calibri"/>
          <w:color w:val="auto"/>
          <w:sz w:val="22"/>
          <w:szCs w:val="22"/>
        </w:rPr>
        <w:t>N</w:t>
      </w:r>
      <w:r w:rsidRPr="29F87363">
        <w:rPr>
          <w:rFonts w:ascii="Calibri" w:eastAsia="Calibri" w:hAnsi="Calibri" w:cs="Calibri"/>
          <w:color w:val="auto"/>
          <w:sz w:val="22"/>
          <w:szCs w:val="22"/>
        </w:rPr>
        <w:t xml:space="preserve">VICP </w:t>
      </w:r>
      <w:r w:rsidR="1A313117" w:rsidRPr="29F87363">
        <w:rPr>
          <w:rFonts w:ascii="Calibri" w:eastAsia="Calibri" w:hAnsi="Calibri" w:cs="Calibri"/>
          <w:color w:val="auto"/>
          <w:sz w:val="22"/>
          <w:szCs w:val="22"/>
        </w:rPr>
        <w:t xml:space="preserve">and </w:t>
      </w:r>
      <w:r w:rsidRPr="29F87363">
        <w:rPr>
          <w:rFonts w:ascii="Calibri" w:eastAsia="Calibri" w:hAnsi="Calibri" w:cs="Calibri"/>
          <w:color w:val="auto"/>
          <w:sz w:val="22"/>
          <w:szCs w:val="22"/>
        </w:rPr>
        <w:t>is not happy with the decision</w:t>
      </w:r>
      <w:r w:rsidR="7CE82F61" w:rsidRPr="29F87363">
        <w:rPr>
          <w:rFonts w:ascii="Calibri" w:eastAsia="Calibri" w:hAnsi="Calibri" w:cs="Calibri"/>
          <w:color w:val="auto"/>
          <w:sz w:val="22"/>
          <w:szCs w:val="22"/>
        </w:rPr>
        <w:t xml:space="preserve"> regarding their case</w:t>
      </w:r>
      <w:r w:rsidRPr="29F87363">
        <w:rPr>
          <w:rFonts w:ascii="Calibri" w:eastAsia="Calibri" w:hAnsi="Calibri" w:cs="Calibri"/>
          <w:color w:val="auto"/>
          <w:sz w:val="22"/>
          <w:szCs w:val="22"/>
        </w:rPr>
        <w:t>, they can still file a claim in civil court against the company that made the vaccine.</w:t>
      </w:r>
    </w:p>
    <w:p w14:paraId="37E5F4ED" w14:textId="1396AB82" w:rsidR="12775FE2" w:rsidRDefault="5FB6083A" w:rsidP="29F87363">
      <w:pPr>
        <w:pStyle w:val="ListParagraph"/>
        <w:numPr>
          <w:ilvl w:val="0"/>
          <w:numId w:val="1"/>
        </w:numPr>
        <w:rPr>
          <w:rFonts w:eastAsiaTheme="minorEastAsia"/>
        </w:rPr>
      </w:pPr>
      <w:r w:rsidRPr="29F87363">
        <w:t>Mis</w:t>
      </w:r>
      <w:r w:rsidR="1E19EEEB" w:rsidRPr="29F87363">
        <w:t>information and mis</w:t>
      </w:r>
      <w:r w:rsidRPr="29F87363">
        <w:t xml:space="preserve">conceptions around this program make it an easy </w:t>
      </w:r>
      <w:r w:rsidR="00145E07" w:rsidRPr="29F87363">
        <w:t>target; it is</w:t>
      </w:r>
      <w:r w:rsidRPr="29F87363">
        <w:t xml:space="preserve"> commonly used in efforts to convince parents that vaccines are not safe. If you look closely at data from the compensation program, you will see that the ratio of number of settlements awarded compared to the number of vaccines given shows that vaccines are extremely safe.</w:t>
      </w:r>
      <w:r w:rsidR="12775FE2" w:rsidRPr="29F87363">
        <w:rPr>
          <w:rStyle w:val="EndnoteReference"/>
        </w:rPr>
        <w:endnoteReference w:id="40"/>
      </w:r>
    </w:p>
    <w:p w14:paraId="4D5D54A5" w14:textId="22726847" w:rsidR="33E1408C" w:rsidRDefault="33E1408C" w:rsidP="331BD544">
      <w:pPr>
        <w:pStyle w:val="ListParagraph"/>
        <w:numPr>
          <w:ilvl w:val="1"/>
          <w:numId w:val="1"/>
        </w:numPr>
      </w:pPr>
      <w:r w:rsidRPr="331BD544">
        <w:t>A successful vaccine can prevent hundreds of thousands of cases of deadly disease. However, it could also lead to a few rare incidences of side effects.</w:t>
      </w:r>
    </w:p>
    <w:p w14:paraId="78A24003" w14:textId="309F51A9" w:rsidR="12775FE2" w:rsidRDefault="5FB6083A" w:rsidP="29F87363">
      <w:pPr>
        <w:pStyle w:val="ListParagraph"/>
        <w:numPr>
          <w:ilvl w:val="1"/>
          <w:numId w:val="1"/>
        </w:numPr>
        <w:rPr>
          <w:rFonts w:eastAsiaTheme="minorEastAsia"/>
        </w:rPr>
      </w:pPr>
      <w:r w:rsidRPr="29F87363">
        <w:lastRenderedPageBreak/>
        <w:t>For every 1 million doses of vaccine distributed in the U.S., only about one recipient has been compensated (0.0001 percent).</w:t>
      </w:r>
    </w:p>
    <w:p w14:paraId="2AFBF45F" w14:textId="39AD7F36" w:rsidR="12775FE2" w:rsidRDefault="75BF9212" w:rsidP="29F87363">
      <w:pPr>
        <w:pStyle w:val="ListParagraph"/>
        <w:numPr>
          <w:ilvl w:val="1"/>
          <w:numId w:val="1"/>
        </w:numPr>
      </w:pPr>
      <w:r w:rsidRPr="29F87363">
        <w:t xml:space="preserve">Compensation awarded to claimants from the NVICP does not prove the injury was caused by a vaccination, but that the events were temporally related and biologically plausible. </w:t>
      </w:r>
    </w:p>
    <w:p w14:paraId="698969FD" w14:textId="3493DBEC" w:rsidR="12775FE2" w:rsidRDefault="12775FE2" w:rsidP="15695048">
      <w:pPr>
        <w:pStyle w:val="Heading2"/>
      </w:pPr>
      <w:r>
        <w:t>FACT: Vaccines</w:t>
      </w:r>
      <w:r w:rsidR="5AE85842">
        <w:t xml:space="preserve"> are not associated with increased rates of autism or SIDS.</w:t>
      </w:r>
    </w:p>
    <w:p w14:paraId="2A18CF3B" w14:textId="41998C9F" w:rsidR="15695048" w:rsidRDefault="513DA8F9" w:rsidP="525D4209">
      <w:pPr>
        <w:pStyle w:val="ListParagraph"/>
        <w:numPr>
          <w:ilvl w:val="0"/>
          <w:numId w:val="10"/>
        </w:numPr>
        <w:rPr>
          <w:rFonts w:eastAsiaTheme="minorEastAsia"/>
        </w:rPr>
      </w:pPr>
      <w:r>
        <w:t>Large vaccine safety studies have shown no link between autism and vaccinations.</w:t>
      </w:r>
      <w:r w:rsidR="15695048" w:rsidRPr="720DBCFD">
        <w:rPr>
          <w:rStyle w:val="EndnoteReference"/>
        </w:rPr>
        <w:endnoteReference w:id="41"/>
      </w:r>
      <w:r w:rsidR="336AD0A7" w:rsidRPr="720DBCFD">
        <w:rPr>
          <w:vertAlign w:val="superscript"/>
        </w:rPr>
        <w:t>,</w:t>
      </w:r>
      <w:r w:rsidR="15695048" w:rsidRPr="720DBCFD">
        <w:rPr>
          <w:rStyle w:val="EndnoteReference"/>
        </w:rPr>
        <w:endnoteReference w:id="42"/>
      </w:r>
    </w:p>
    <w:p w14:paraId="62371A1F" w14:textId="31BA13BF" w:rsidR="513DA8F9" w:rsidRDefault="513DA8F9" w:rsidP="720DBCFD">
      <w:pPr>
        <w:pStyle w:val="ListParagraph"/>
        <w:numPr>
          <w:ilvl w:val="0"/>
          <w:numId w:val="10"/>
        </w:numPr>
        <w:rPr>
          <w:rStyle w:val="EndnoteReference"/>
        </w:rPr>
      </w:pPr>
      <w:r>
        <w:t>National autism associations, such as Autism</w:t>
      </w:r>
      <w:r w:rsidR="2B401647">
        <w:t xml:space="preserve"> </w:t>
      </w:r>
      <w:r>
        <w:t>Speaks and</w:t>
      </w:r>
      <w:r w:rsidR="359D2E4B">
        <w:t xml:space="preserve"> the Autism Science Foundation, have</w:t>
      </w:r>
      <w:r w:rsidR="7442137C">
        <w:t xml:space="preserve"> stated that vaccines do not cause autism and</w:t>
      </w:r>
      <w:r w:rsidR="359D2E4B">
        <w:t xml:space="preserve"> </w:t>
      </w:r>
      <w:r w:rsidR="6AA11559">
        <w:t>that they are in</w:t>
      </w:r>
      <w:r w:rsidR="359D2E4B">
        <w:t xml:space="preserve"> support of vaccination.</w:t>
      </w:r>
      <w:r w:rsidR="65B1ABE3">
        <w:t xml:space="preserve"> These organizations support redirecting funds from studying autism and vaccines to funding studies looking into other causes of autism.</w:t>
      </w:r>
    </w:p>
    <w:p w14:paraId="26FF9C21" w14:textId="05539CC0" w:rsidR="32E6F8AE" w:rsidRDefault="32E6F8AE" w:rsidP="5FDCF3DE">
      <w:pPr>
        <w:pStyle w:val="ListParagraph"/>
        <w:numPr>
          <w:ilvl w:val="0"/>
          <w:numId w:val="10"/>
        </w:numPr>
      </w:pPr>
      <w:r>
        <w:t>Both genetics and environment seem to play a role in causing autism.</w:t>
      </w:r>
      <w:r w:rsidRPr="720DBCFD">
        <w:rPr>
          <w:rStyle w:val="EndnoteReference"/>
        </w:rPr>
        <w:endnoteReference w:id="43"/>
      </w:r>
    </w:p>
    <w:p w14:paraId="491A3D03" w14:textId="1846FF34" w:rsidR="32E6F8AE" w:rsidRDefault="32E6F8AE" w:rsidP="525D4209">
      <w:pPr>
        <w:pStyle w:val="ListParagraph"/>
        <w:numPr>
          <w:ilvl w:val="0"/>
          <w:numId w:val="10"/>
        </w:numPr>
        <w:rPr>
          <w:rFonts w:eastAsiaTheme="minorEastAsia"/>
        </w:rPr>
      </w:pPr>
      <w:r>
        <w:t xml:space="preserve">By its very </w:t>
      </w:r>
      <w:r w:rsidRPr="525D4209">
        <w:rPr>
          <w:rFonts w:eastAsiaTheme="minorEastAsia"/>
        </w:rPr>
        <w:t>definition, the cause of SIDS is unclear. However, numerous studies have shown that vaccines do not increase a baby’s risk of SIDS, and several studies have actually shown that babies who are vaccinated have a decreased risk of SIDS.</w:t>
      </w:r>
      <w:r w:rsidRPr="525D4209">
        <w:rPr>
          <w:rStyle w:val="EndnoteReference"/>
          <w:rFonts w:eastAsiaTheme="minorEastAsia"/>
        </w:rPr>
        <w:endnoteReference w:id="44"/>
      </w:r>
      <w:r w:rsidRPr="525D4209">
        <w:rPr>
          <w:rFonts w:eastAsiaTheme="minorEastAsia"/>
        </w:rPr>
        <w:t xml:space="preserve"> </w:t>
      </w:r>
    </w:p>
    <w:p w14:paraId="3C71552E" w14:textId="37A8927F" w:rsidR="318B20E1" w:rsidRDefault="318B20E1" w:rsidP="29F87363">
      <w:pPr>
        <w:pStyle w:val="Heading2"/>
      </w:pPr>
      <w:r w:rsidRPr="29F87363">
        <w:t xml:space="preserve">FACT: </w:t>
      </w:r>
      <w:r w:rsidR="4E84FDF5" w:rsidRPr="29F87363">
        <w:t>The ingredients in vaccines have been shown to be safe.</w:t>
      </w:r>
    </w:p>
    <w:p w14:paraId="1112D7F9" w14:textId="6B6B7925" w:rsidR="5FDCF3DE" w:rsidRDefault="0A5C0ABE" w:rsidP="525D4209">
      <w:pPr>
        <w:pStyle w:val="ListParagraph"/>
        <w:numPr>
          <w:ilvl w:val="0"/>
          <w:numId w:val="4"/>
        </w:numPr>
        <w:rPr>
          <w:rFonts w:eastAsiaTheme="minorEastAsia"/>
        </w:rPr>
      </w:pPr>
      <w:r w:rsidRPr="525D4209">
        <w:rPr>
          <w:rFonts w:eastAsiaTheme="minorEastAsia"/>
          <w:color w:val="212121"/>
        </w:rPr>
        <w:t xml:space="preserve">Vaccine ingredients are extensively tested for safety during all stages of development, and they continue to be tested for as long as they’re in use. While some things found in vaccines might sound scary, a closer look at the research shows them not only to be safe, but </w:t>
      </w:r>
      <w:r w:rsidR="1733E0E8" w:rsidRPr="525D4209">
        <w:rPr>
          <w:rFonts w:eastAsiaTheme="minorEastAsia"/>
          <w:color w:val="212121"/>
        </w:rPr>
        <w:t xml:space="preserve">that they </w:t>
      </w:r>
      <w:r w:rsidRPr="525D4209">
        <w:rPr>
          <w:rFonts w:eastAsiaTheme="minorEastAsia"/>
          <w:color w:val="212121"/>
        </w:rPr>
        <w:t>also help make vaccines safer or more effective.</w:t>
      </w:r>
      <w:r w:rsidR="5FDCF3DE" w:rsidRPr="525D4209">
        <w:rPr>
          <w:rStyle w:val="EndnoteReference"/>
          <w:rFonts w:eastAsiaTheme="minorEastAsia"/>
        </w:rPr>
        <w:endnoteReference w:id="45"/>
      </w:r>
      <w:r w:rsidRPr="525D4209">
        <w:rPr>
          <w:rFonts w:eastAsiaTheme="minorEastAsia"/>
        </w:rPr>
        <w:t xml:space="preserve"> </w:t>
      </w:r>
    </w:p>
    <w:p w14:paraId="2B213F27" w14:textId="1F833D57" w:rsidR="5FDCF3DE" w:rsidRDefault="4E84FDF5" w:rsidP="720DBCFD">
      <w:pPr>
        <w:pStyle w:val="ListParagraph"/>
        <w:numPr>
          <w:ilvl w:val="0"/>
          <w:numId w:val="4"/>
        </w:numPr>
      </w:pPr>
      <w:r w:rsidRPr="525D4209">
        <w:rPr>
          <w:rFonts w:eastAsiaTheme="minorEastAsia"/>
        </w:rPr>
        <w:t>Each vaccine ingredient serves a specific purpose</w:t>
      </w:r>
      <w:r w:rsidR="536ED15B" w:rsidRPr="525D4209">
        <w:rPr>
          <w:rFonts w:eastAsiaTheme="minorEastAsia"/>
        </w:rPr>
        <w:t>. Vaccine ingredients</w:t>
      </w:r>
      <w:r w:rsidRPr="525D4209">
        <w:rPr>
          <w:rFonts w:eastAsiaTheme="minorEastAsia"/>
        </w:rPr>
        <w:t xml:space="preserve"> </w:t>
      </w:r>
      <w:r w:rsidR="5EB6981B" w:rsidRPr="525D4209">
        <w:rPr>
          <w:rFonts w:eastAsiaTheme="minorEastAsia"/>
        </w:rPr>
        <w:t xml:space="preserve">are used to </w:t>
      </w:r>
      <w:r w:rsidRPr="525D4209">
        <w:rPr>
          <w:rFonts w:eastAsiaTheme="minorEastAsia"/>
        </w:rPr>
        <w:t>provid</w:t>
      </w:r>
      <w:r w:rsidR="17F61ACF" w:rsidRPr="525D4209">
        <w:rPr>
          <w:rFonts w:eastAsiaTheme="minorEastAsia"/>
        </w:rPr>
        <w:t>e</w:t>
      </w:r>
      <w:r w:rsidRPr="525D4209">
        <w:rPr>
          <w:rFonts w:eastAsiaTheme="minorEastAsia"/>
        </w:rPr>
        <w:t xml:space="preserve"> immunity, keep the vaccine safe and long</w:t>
      </w:r>
      <w:r w:rsidR="2F3BF9E6" w:rsidRPr="525D4209">
        <w:rPr>
          <w:rFonts w:eastAsiaTheme="minorEastAsia"/>
        </w:rPr>
        <w:t>-</w:t>
      </w:r>
      <w:r w:rsidRPr="525D4209">
        <w:rPr>
          <w:rFonts w:eastAsiaTheme="minorEastAsia"/>
        </w:rPr>
        <w:t xml:space="preserve">lasting, </w:t>
      </w:r>
      <w:r w:rsidR="5C22B062" w:rsidRPr="525D4209">
        <w:rPr>
          <w:rFonts w:eastAsiaTheme="minorEastAsia"/>
        </w:rPr>
        <w:t>or to produce</w:t>
      </w:r>
      <w:r w:rsidRPr="525D4209">
        <w:rPr>
          <w:rFonts w:eastAsiaTheme="minorEastAsia"/>
        </w:rPr>
        <w:t xml:space="preserve"> the vaccine.</w:t>
      </w:r>
      <w:r w:rsidR="3D5D196F" w:rsidRPr="525D4209">
        <w:rPr>
          <w:rFonts w:eastAsiaTheme="minorEastAsia"/>
        </w:rPr>
        <w:t xml:space="preserve"> </w:t>
      </w:r>
      <w:r w:rsidR="3D5D196F" w:rsidRPr="29F87363">
        <w:rPr>
          <w:rFonts w:eastAsiaTheme="minorEastAsia"/>
          <w:i/>
          <w:iCs/>
        </w:rPr>
        <w:t>Vaccines use only the ingredients they need to be as safe and effective as possible.</w:t>
      </w:r>
      <w:r w:rsidR="5FDCF3DE" w:rsidRPr="29F87363">
        <w:rPr>
          <w:rStyle w:val="EndnoteReference"/>
          <w:rFonts w:eastAsiaTheme="minorEastAsia"/>
          <w:i/>
          <w:iCs/>
        </w:rPr>
        <w:endnoteReference w:id="46"/>
      </w:r>
      <w:r w:rsidR="3D5D196F" w:rsidRPr="29F87363">
        <w:rPr>
          <w:rFonts w:eastAsiaTheme="minorEastAsia"/>
          <w:i/>
          <w:iCs/>
        </w:rPr>
        <w:t xml:space="preserve"> </w:t>
      </w:r>
    </w:p>
    <w:p w14:paraId="6C1E0A21" w14:textId="18C0BB01" w:rsidR="61BDB750" w:rsidRDefault="736ACABB" w:rsidP="15695048">
      <w:pPr>
        <w:pStyle w:val="Heading2"/>
      </w:pPr>
      <w:r>
        <w:t>FACT: Certain vaccines are recommended during pregnancy. These vaccines have a proven safety record and help keep the mother and child safe.</w:t>
      </w:r>
    </w:p>
    <w:p w14:paraId="2E24133A" w14:textId="0E0CA0EE" w:rsidR="15695048" w:rsidRDefault="41D01745" w:rsidP="5FDCF3DE">
      <w:pPr>
        <w:pStyle w:val="ListParagraph"/>
        <w:numPr>
          <w:ilvl w:val="0"/>
          <w:numId w:val="7"/>
        </w:numPr>
        <w:rPr>
          <w:rFonts w:eastAsiaTheme="minorEastAsia"/>
        </w:rPr>
      </w:pPr>
      <w:r>
        <w:t>Immunization during pregnancy is an important and successful public health intervention.</w:t>
      </w:r>
    </w:p>
    <w:p w14:paraId="03BD105F" w14:textId="75C81862" w:rsidR="15695048" w:rsidRDefault="41D01745" w:rsidP="5FDCF3DE">
      <w:pPr>
        <w:pStyle w:val="ListParagraph"/>
        <w:numPr>
          <w:ilvl w:val="0"/>
          <w:numId w:val="7"/>
        </w:numPr>
      </w:pPr>
      <w:r>
        <w:t>The American College of Obstetricians and Gynecologists recommends Tdap and influenza vaccination for pregnant women to protect themselves and their unborn babies.</w:t>
      </w:r>
      <w:r w:rsidR="004542DC">
        <w:rPr>
          <w:rStyle w:val="EndnoteReference"/>
        </w:rPr>
        <w:endnoteReference w:id="47"/>
      </w:r>
    </w:p>
    <w:p w14:paraId="70F6D09D" w14:textId="3AA0E970" w:rsidR="15695048" w:rsidRDefault="41D01745" w:rsidP="5FDCF3DE">
      <w:pPr>
        <w:pStyle w:val="ListParagraph"/>
        <w:numPr>
          <w:ilvl w:val="0"/>
          <w:numId w:val="7"/>
        </w:numPr>
        <w:rPr>
          <w:rFonts w:eastAsiaTheme="minorEastAsia"/>
        </w:rPr>
      </w:pPr>
      <w:r>
        <w:t>Numerous studies looking at hundreds of thousands of women and infants continue to support the long-term safety and effectiveness of vaccinating in pregnancy for both the mother and infants.</w:t>
      </w:r>
    </w:p>
    <w:p w14:paraId="4B30653A" w14:textId="154BC72E" w:rsidR="15695048" w:rsidRDefault="41D01745" w:rsidP="5FDCF3DE">
      <w:pPr>
        <w:pStyle w:val="ListParagraph"/>
        <w:numPr>
          <w:ilvl w:val="1"/>
          <w:numId w:val="7"/>
        </w:numPr>
        <w:rPr>
          <w:rFonts w:eastAsiaTheme="minorEastAsia"/>
        </w:rPr>
      </w:pPr>
      <w:r>
        <w:t xml:space="preserve">Studies on influenza vaccine safety during pregnancy can be found </w:t>
      </w:r>
      <w:hyperlink r:id="rId11">
        <w:r w:rsidRPr="5FDCF3DE">
          <w:rPr>
            <w:rStyle w:val="Hyperlink"/>
          </w:rPr>
          <w:t>here.</w:t>
        </w:r>
      </w:hyperlink>
      <w:r>
        <w:t xml:space="preserve"> </w:t>
      </w:r>
    </w:p>
    <w:p w14:paraId="7D1677C1" w14:textId="2CA595F4" w:rsidR="15695048" w:rsidRDefault="41D01745" w:rsidP="5FDCF3DE">
      <w:pPr>
        <w:pStyle w:val="ListParagraph"/>
        <w:numPr>
          <w:ilvl w:val="1"/>
          <w:numId w:val="7"/>
        </w:numPr>
      </w:pPr>
      <w:r>
        <w:t xml:space="preserve">Studies on Tdap vaccine safety during pregnancy can be found </w:t>
      </w:r>
      <w:hyperlink r:id="rId12">
        <w:r w:rsidRPr="5FDCF3DE">
          <w:rPr>
            <w:rStyle w:val="Hyperlink"/>
          </w:rPr>
          <w:t>here.</w:t>
        </w:r>
      </w:hyperlink>
    </w:p>
    <w:p w14:paraId="6823594D" w14:textId="22B1CFA7" w:rsidR="15695048" w:rsidRDefault="41D01745" w:rsidP="5FDCF3DE">
      <w:pPr>
        <w:pStyle w:val="Heading2"/>
      </w:pPr>
      <w:r>
        <w:t>FACT: Requiring healthcare providers to offer exemptions will create a moral dilemma for healthcare providers.</w:t>
      </w:r>
    </w:p>
    <w:p w14:paraId="3935C6DF" w14:textId="5D7BDBDD" w:rsidR="15695048" w:rsidRDefault="41D01745" w:rsidP="525D4209">
      <w:pPr>
        <w:pStyle w:val="ListParagraph"/>
        <w:numPr>
          <w:ilvl w:val="0"/>
          <w:numId w:val="8"/>
        </w:numPr>
        <w:rPr>
          <w:rFonts w:eastAsiaTheme="minorEastAsia"/>
        </w:rPr>
      </w:pPr>
      <w:r>
        <w:t>Many medical organizations do not support the use of non-medical exemptions.</w:t>
      </w:r>
      <w:r w:rsidR="004542DC">
        <w:rPr>
          <w:rStyle w:val="EndnoteReference"/>
        </w:rPr>
        <w:endnoteReference w:id="48"/>
      </w:r>
    </w:p>
    <w:p w14:paraId="0851227B" w14:textId="74B5208C" w:rsidR="15695048" w:rsidRDefault="41D01745" w:rsidP="5FDCF3DE">
      <w:pPr>
        <w:pStyle w:val="ListParagraph"/>
        <w:numPr>
          <w:ilvl w:val="1"/>
          <w:numId w:val="8"/>
        </w:numPr>
      </w:pPr>
      <w:r>
        <w:t>AMA, AAFP, AAP, ACOG, ACP, ANA, IDSA, NAPNP, March of Dimes</w:t>
      </w:r>
    </w:p>
    <w:p w14:paraId="24DE8AA0" w14:textId="7E07CD2E" w:rsidR="15695048" w:rsidRDefault="41D01745" w:rsidP="5FDCF3DE">
      <w:pPr>
        <w:pStyle w:val="ListParagraph"/>
        <w:numPr>
          <w:ilvl w:val="0"/>
          <w:numId w:val="8"/>
        </w:numPr>
      </w:pPr>
      <w:r>
        <w:t>The overwhelming medical consensus is that vaccines are safe and effective, which is why vaccines are recommended for nearly all patients.</w:t>
      </w:r>
      <w:r w:rsidRPr="29F87363">
        <w:rPr>
          <w:rStyle w:val="EndnoteReference"/>
        </w:rPr>
        <w:endnoteReference w:id="49"/>
      </w:r>
    </w:p>
    <w:p w14:paraId="2CA4C791" w14:textId="07B8315E" w:rsidR="07E1D039" w:rsidRDefault="07E1D039" w:rsidP="720DBCFD">
      <w:pPr>
        <w:pStyle w:val="ListParagraph"/>
        <w:numPr>
          <w:ilvl w:val="0"/>
          <w:numId w:val="8"/>
        </w:numPr>
      </w:pPr>
      <w:r>
        <w:t xml:space="preserve">Healthcare providers don’t </w:t>
      </w:r>
      <w:r w:rsidR="25E7179D">
        <w:t>require</w:t>
      </w:r>
      <w:r w:rsidR="66942871">
        <w:t>,</w:t>
      </w:r>
      <w:r w:rsidR="25E7179D">
        <w:t xml:space="preserve"> but</w:t>
      </w:r>
      <w:r>
        <w:t xml:space="preserve"> </w:t>
      </w:r>
      <w:r w:rsidR="56A63B16">
        <w:t xml:space="preserve">do </w:t>
      </w:r>
      <w:r>
        <w:t>recommend</w:t>
      </w:r>
      <w:r w:rsidR="6CB86797">
        <w:t>,</w:t>
      </w:r>
      <w:r>
        <w:t xml:space="preserve"> vaccinations. People who wish to exempt from vaccination for childcare or school entry are very aware of this option.</w:t>
      </w:r>
      <w:r w:rsidRPr="29F87363">
        <w:rPr>
          <w:rStyle w:val="EndnoteReference"/>
        </w:rPr>
        <w:endnoteReference w:id="50"/>
      </w:r>
    </w:p>
    <w:p w14:paraId="7BD03760" w14:textId="674D382A" w:rsidR="15695048" w:rsidRDefault="2359659B" w:rsidP="5FDCF3DE">
      <w:pPr>
        <w:pStyle w:val="Heading2"/>
      </w:pPr>
      <w:r>
        <w:lastRenderedPageBreak/>
        <w:t>FACT: Immunization requirements for healthcare employees boost immunization rates and protect healthcare workers and patients.</w:t>
      </w:r>
    </w:p>
    <w:p w14:paraId="32E35881" w14:textId="0DA43AE4" w:rsidR="15695048" w:rsidRDefault="523C6778" w:rsidP="720DBCFD">
      <w:pPr>
        <w:pStyle w:val="ListParagraph"/>
        <w:numPr>
          <w:ilvl w:val="0"/>
          <w:numId w:val="5"/>
        </w:numPr>
        <w:rPr>
          <w:rFonts w:eastAsiaTheme="minorEastAsia"/>
        </w:rPr>
      </w:pPr>
      <w:r>
        <w:t>Healthcare workers are at risk for exposure to serious, and sometimes deadly, disease.</w:t>
      </w:r>
    </w:p>
    <w:p w14:paraId="74FF39B4" w14:textId="2F308AED" w:rsidR="15695048" w:rsidRDefault="05071AAE" w:rsidP="525D4209">
      <w:pPr>
        <w:pStyle w:val="ListParagraph"/>
        <w:numPr>
          <w:ilvl w:val="0"/>
          <w:numId w:val="5"/>
        </w:numPr>
        <w:rPr>
          <w:rFonts w:eastAsiaTheme="minorEastAsia"/>
        </w:rPr>
      </w:pPr>
      <w:r>
        <w:t>The Advisory Committee on Immunization Practices recommends that al healthcare personnel receive the flu vaccine every year because they are at increased risk for getting influenza and passing it on to vulnerable patients.</w:t>
      </w:r>
      <w:r w:rsidR="004542DC">
        <w:rPr>
          <w:rStyle w:val="EndnoteReference"/>
        </w:rPr>
        <w:endnoteReference w:id="51"/>
      </w:r>
    </w:p>
    <w:p w14:paraId="12DAD0DA" w14:textId="702911B9" w:rsidR="15695048" w:rsidRDefault="05071AAE" w:rsidP="00B21CB4">
      <w:pPr>
        <w:pStyle w:val="ListParagraph"/>
        <w:numPr>
          <w:ilvl w:val="0"/>
          <w:numId w:val="5"/>
        </w:numPr>
      </w:pPr>
      <w:r>
        <w:t xml:space="preserve">Health systems often mandate immunizations for employees to boost immunization rates and to protect their staff and patients. </w:t>
      </w:r>
      <w:r w:rsidR="28536288">
        <w:t>Exemption policies vary by employer.</w:t>
      </w:r>
      <w:r w:rsidRPr="29F87363">
        <w:rPr>
          <w:rStyle w:val="EndnoteReference"/>
        </w:rPr>
        <w:endnoteReference w:id="52"/>
      </w:r>
    </w:p>
    <w:p w14:paraId="2FA8DB34" w14:textId="57BB33F9" w:rsidR="15695048" w:rsidRDefault="15695048" w:rsidP="5B7CB9D0">
      <w:pPr>
        <w:rPr>
          <w:i/>
          <w:iCs/>
        </w:rPr>
      </w:pPr>
    </w:p>
    <w:sectPr w:rsidR="15695048" w:rsidSect="00B21CB4">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DAB25" w14:textId="77777777" w:rsidR="00BD58C0" w:rsidRDefault="00BD58C0" w:rsidP="00FD506D">
      <w:pPr>
        <w:spacing w:after="0" w:line="240" w:lineRule="auto"/>
      </w:pPr>
      <w:r>
        <w:separator/>
      </w:r>
    </w:p>
  </w:endnote>
  <w:endnote w:type="continuationSeparator" w:id="0">
    <w:p w14:paraId="7BDA7522" w14:textId="77777777" w:rsidR="00BD58C0" w:rsidRDefault="00BD58C0" w:rsidP="00FD506D">
      <w:pPr>
        <w:spacing w:after="0" w:line="240" w:lineRule="auto"/>
      </w:pPr>
      <w:r>
        <w:continuationSeparator/>
      </w:r>
    </w:p>
  </w:endnote>
  <w:endnote w:id="1">
    <w:p w14:paraId="4F7C6C7C" w14:textId="77777777" w:rsidR="00C31699" w:rsidRPr="00C31699" w:rsidRDefault="00C31699" w:rsidP="67A9E11E">
      <w:pPr>
        <w:pStyle w:val="EndnoteText"/>
      </w:pPr>
      <w:r w:rsidRPr="67A9E11E">
        <w:rPr>
          <w:rStyle w:val="EndnoteReference"/>
          <w:rFonts w:ascii="Calibri" w:eastAsia="Calibri" w:hAnsi="Calibri" w:cs="Calibri"/>
        </w:rPr>
        <w:endnoteRef/>
      </w:r>
      <w:r w:rsidR="67A9E11E" w:rsidRPr="67A9E11E">
        <w:rPr>
          <w:rFonts w:ascii="Calibri" w:eastAsia="Calibri" w:hAnsi="Calibri" w:cs="Calibri"/>
        </w:rPr>
        <w:t xml:space="preserve"> CDC. Ten Great Public Health Achievements – United States, 2001-2010</w:t>
      </w:r>
      <w:r w:rsidR="67A9E11E" w:rsidRPr="67A9E11E">
        <w:rPr>
          <w:rFonts w:ascii="Calibri" w:eastAsia="Calibri" w:hAnsi="Calibri" w:cs="Calibri"/>
          <w:i/>
          <w:iCs/>
        </w:rPr>
        <w:t>.</w:t>
      </w:r>
      <w:r w:rsidR="67A9E11E" w:rsidRPr="67A9E11E">
        <w:rPr>
          <w:rFonts w:ascii="Calibri" w:eastAsia="Calibri" w:hAnsi="Calibri" w:cs="Calibri"/>
        </w:rPr>
        <w:t xml:space="preserve"> </w:t>
      </w:r>
      <w:r w:rsidR="67A9E11E" w:rsidRPr="67A9E11E">
        <w:rPr>
          <w:rFonts w:ascii="Calibri" w:eastAsia="Calibri" w:hAnsi="Calibri" w:cs="Calibri"/>
          <w:i/>
          <w:iCs/>
        </w:rPr>
        <w:t>MMWR.</w:t>
      </w:r>
      <w:r w:rsidR="67A9E11E" w:rsidRPr="67A9E11E">
        <w:rPr>
          <w:rFonts w:ascii="Calibri" w:eastAsia="Calibri" w:hAnsi="Calibri" w:cs="Calibri"/>
        </w:rPr>
        <w:t xml:space="preserve"> 2011;60(19):619-623.</w:t>
      </w:r>
    </w:p>
  </w:endnote>
  <w:endnote w:id="2">
    <w:p w14:paraId="724884E1" w14:textId="77777777" w:rsidR="00924419" w:rsidRPr="00924419" w:rsidRDefault="00924419" w:rsidP="67A9E11E">
      <w:pPr>
        <w:pStyle w:val="EndnoteText"/>
      </w:pPr>
      <w:r w:rsidRPr="67A9E11E">
        <w:rPr>
          <w:rStyle w:val="EndnoteReference"/>
          <w:rFonts w:ascii="Calibri" w:eastAsia="Calibri" w:hAnsi="Calibri" w:cs="Calibri"/>
        </w:rPr>
        <w:endnoteRef/>
      </w:r>
      <w:r w:rsidR="67A9E11E" w:rsidRPr="67A9E11E">
        <w:rPr>
          <w:rFonts w:ascii="Calibri" w:eastAsia="Calibri" w:hAnsi="Calibri" w:cs="Calibri"/>
        </w:rPr>
        <w:t xml:space="preserve"> CDC. </w:t>
      </w:r>
      <w:r w:rsidR="67A9E11E" w:rsidRPr="67A9E11E">
        <w:rPr>
          <w:rFonts w:ascii="Calibri" w:eastAsia="Calibri" w:hAnsi="Calibri" w:cs="Calibri"/>
          <w:i/>
          <w:iCs/>
        </w:rPr>
        <w:t>History of Smallpox</w:t>
      </w:r>
      <w:r w:rsidR="67A9E11E" w:rsidRPr="67A9E11E">
        <w:rPr>
          <w:rFonts w:ascii="Calibri" w:eastAsia="Calibri" w:hAnsi="Calibri" w:cs="Calibri"/>
        </w:rPr>
        <w:t xml:space="preserve">. Updated August 2016. Accessed January 2021. Available at: </w:t>
      </w:r>
      <w:hyperlink r:id="rId1" w:history="1">
        <w:r w:rsidR="67A9E11E" w:rsidRPr="67A9E11E">
          <w:rPr>
            <w:rStyle w:val="Hyperlink"/>
            <w:rFonts w:ascii="Calibri" w:eastAsia="Calibri" w:hAnsi="Calibri" w:cs="Calibri"/>
          </w:rPr>
          <w:t>History of Smallpox | Smallpox | CDC</w:t>
        </w:r>
      </w:hyperlink>
    </w:p>
  </w:endnote>
  <w:endnote w:id="3">
    <w:p w14:paraId="050CE8AB" w14:textId="77777777" w:rsidR="00924419" w:rsidRPr="00924419" w:rsidRDefault="00924419" w:rsidP="67A9E11E">
      <w:pPr>
        <w:pStyle w:val="EndnoteText"/>
      </w:pPr>
      <w:r w:rsidRPr="67A9E11E">
        <w:rPr>
          <w:rStyle w:val="EndnoteReference"/>
          <w:rFonts w:ascii="Calibri" w:eastAsia="Calibri" w:hAnsi="Calibri" w:cs="Calibri"/>
        </w:rPr>
        <w:endnoteRef/>
      </w:r>
      <w:r w:rsidR="67A9E11E" w:rsidRPr="67A9E11E">
        <w:rPr>
          <w:rFonts w:ascii="Calibri" w:eastAsia="Calibri" w:hAnsi="Calibri" w:cs="Calibri"/>
        </w:rPr>
        <w:t xml:space="preserve"> WHO. </w:t>
      </w:r>
      <w:r w:rsidR="67A9E11E" w:rsidRPr="67A9E11E">
        <w:rPr>
          <w:rFonts w:ascii="Calibri" w:eastAsia="Calibri" w:hAnsi="Calibri" w:cs="Calibri"/>
          <w:i/>
          <w:iCs/>
        </w:rPr>
        <w:t>Does polio still exist? Is it curable?</w:t>
      </w:r>
      <w:r w:rsidR="67A9E11E" w:rsidRPr="67A9E11E">
        <w:rPr>
          <w:rFonts w:ascii="Calibri" w:eastAsia="Calibri" w:hAnsi="Calibri" w:cs="Calibri"/>
        </w:rPr>
        <w:t xml:space="preserve"> Updated January 2020. Accessed January 2021.  Available at: </w:t>
      </w:r>
      <w:hyperlink r:id="rId2" w:anchor=":~:text=Polio%20does%20still%20exist%2C%20although,effort%20to%20eradicate%20the%20disease.&amp;text=There%20is%20no%20cure%20for%20polio%2C%20it%20can%20only%20be%20prevented." w:history="1">
        <w:r w:rsidR="67A9E11E" w:rsidRPr="67A9E11E">
          <w:rPr>
            <w:rStyle w:val="Hyperlink"/>
            <w:rFonts w:ascii="Calibri" w:eastAsia="Calibri" w:hAnsi="Calibri" w:cs="Calibri"/>
          </w:rPr>
          <w:t>Does polio still exist? Is it curable? (who.int)</w:t>
        </w:r>
      </w:hyperlink>
    </w:p>
  </w:endnote>
  <w:endnote w:id="4">
    <w:p w14:paraId="76B095AF" w14:textId="77777777" w:rsidR="00924419" w:rsidRDefault="00924419" w:rsidP="67A9E11E">
      <w:pPr>
        <w:pStyle w:val="EndnoteText"/>
      </w:pPr>
      <w:r w:rsidRPr="67A9E11E">
        <w:rPr>
          <w:rStyle w:val="EndnoteReference"/>
          <w:rFonts w:ascii="Calibri" w:eastAsia="Calibri" w:hAnsi="Calibri" w:cs="Calibri"/>
        </w:rPr>
        <w:endnoteRef/>
      </w:r>
      <w:r w:rsidR="67A9E11E" w:rsidRPr="67A9E11E">
        <w:rPr>
          <w:rFonts w:ascii="Calibri" w:eastAsia="Calibri" w:hAnsi="Calibri" w:cs="Calibri"/>
        </w:rPr>
        <w:t xml:space="preserve"> Hebert CJ, Hall CM, </w:t>
      </w:r>
      <w:r w:rsidR="67A9E11E" w:rsidRPr="67A9E11E">
        <w:rPr>
          <w:rFonts w:ascii="Calibri" w:eastAsia="Calibri" w:hAnsi="Calibri" w:cs="Calibri"/>
        </w:rPr>
        <w:t>Odoms LN. Lessons learned and applied: what the 20th century vaccine experience can teach us about vaccines in the 21st century. </w:t>
      </w:r>
      <w:r w:rsidR="67A9E11E" w:rsidRPr="67A9E11E">
        <w:rPr>
          <w:rFonts w:ascii="Calibri" w:eastAsia="Calibri" w:hAnsi="Calibri" w:cs="Calibri"/>
          <w:i/>
          <w:iCs/>
        </w:rPr>
        <w:t>Hum Vaccin Immunother</w:t>
      </w:r>
      <w:r w:rsidR="67A9E11E" w:rsidRPr="67A9E11E">
        <w:rPr>
          <w:rFonts w:ascii="Calibri" w:eastAsia="Calibri" w:hAnsi="Calibri" w:cs="Calibri"/>
        </w:rPr>
        <w:t>. 2012;8(5):560-568. doi:10.4161/hv.19204</w:t>
      </w:r>
    </w:p>
  </w:endnote>
  <w:endnote w:id="5">
    <w:p w14:paraId="1B361195" w14:textId="77777777" w:rsidR="5FDCF3DE" w:rsidRDefault="5FDCF3DE" w:rsidP="67A9E11E">
      <w:pPr>
        <w:pStyle w:val="EndnoteText"/>
      </w:pPr>
      <w:r w:rsidRPr="67A9E11E">
        <w:rPr>
          <w:rStyle w:val="EndnoteReference"/>
          <w:rFonts w:ascii="Calibri" w:eastAsia="Calibri" w:hAnsi="Calibri" w:cs="Calibri"/>
        </w:rPr>
        <w:endnoteRef/>
      </w:r>
      <w:r w:rsidR="67A9E11E" w:rsidRPr="67A9E11E">
        <w:rPr>
          <w:rFonts w:ascii="Calibri" w:eastAsia="Calibri" w:hAnsi="Calibri" w:cs="Calibri"/>
        </w:rPr>
        <w:t xml:space="preserve"> Whitney CG, Zhou F, Singleton J, </w:t>
      </w:r>
      <w:r w:rsidR="67A9E11E" w:rsidRPr="67A9E11E">
        <w:rPr>
          <w:rFonts w:ascii="Calibri" w:eastAsia="Calibri" w:hAnsi="Calibri" w:cs="Calibri"/>
        </w:rPr>
        <w:t xml:space="preserve">Schuchat A. Benefits from Immunization During the Vaccines for Children Program Era – United States, 1994-2013. </w:t>
      </w:r>
      <w:r w:rsidR="67A9E11E" w:rsidRPr="67A9E11E">
        <w:rPr>
          <w:rFonts w:ascii="Calibri" w:eastAsia="Calibri" w:hAnsi="Calibri" w:cs="Calibri"/>
          <w:i/>
          <w:iCs/>
        </w:rPr>
        <w:t>MMWR.</w:t>
      </w:r>
      <w:r w:rsidR="67A9E11E" w:rsidRPr="67A9E11E">
        <w:rPr>
          <w:rFonts w:ascii="Calibri" w:eastAsia="Calibri" w:hAnsi="Calibri" w:cs="Calibri"/>
        </w:rPr>
        <w:t xml:space="preserve"> 2014;63(16):352-355. Available at: </w:t>
      </w:r>
      <w:hyperlink r:id="rId3">
        <w:r w:rsidR="67A9E11E" w:rsidRPr="67A9E11E">
          <w:rPr>
            <w:rStyle w:val="Hyperlink"/>
            <w:rFonts w:ascii="Calibri" w:eastAsia="Calibri" w:hAnsi="Calibri" w:cs="Calibri"/>
          </w:rPr>
          <w:t>VFC | Vaccines for Children | Protecting Children | CDC</w:t>
        </w:r>
      </w:hyperlink>
    </w:p>
  </w:endnote>
  <w:endnote w:id="6">
    <w:p w14:paraId="2995DC90" w14:textId="77777777" w:rsidR="00C750C5" w:rsidRPr="000B27E9" w:rsidRDefault="00C750C5" w:rsidP="00C750C5">
      <w:pPr>
        <w:pStyle w:val="EndnoteText"/>
      </w:pPr>
      <w:r w:rsidRPr="67A9E11E">
        <w:rPr>
          <w:rStyle w:val="EndnoteReference"/>
          <w:rFonts w:ascii="Calibri" w:eastAsia="Calibri" w:hAnsi="Calibri" w:cs="Calibri"/>
        </w:rPr>
        <w:endnoteRef/>
      </w:r>
      <w:r w:rsidRPr="67A9E11E">
        <w:rPr>
          <w:rFonts w:ascii="Calibri" w:eastAsia="Calibri" w:hAnsi="Calibri" w:cs="Calibri"/>
        </w:rPr>
        <w:t xml:space="preserve"> </w:t>
      </w:r>
      <w:r w:rsidRPr="67A9E11E">
        <w:rPr>
          <w:rFonts w:ascii="Calibri" w:eastAsia="Calibri" w:hAnsi="Calibri" w:cs="Calibri"/>
          <w:color w:val="212121"/>
          <w:shd w:val="clear" w:color="auto" w:fill="FFFFFF"/>
        </w:rPr>
        <w:t>Committee to Review Adverse Effects of Vaccines; Institute of Medicine. Adverse Effects of Vaccines: Evidence and Causality. Stratton K, Ford A, Rusch E, Clayton EW, editors. Washington (DC): National Academies Press (US); 2011 Aug 25. PMID: 24624471.</w:t>
      </w:r>
    </w:p>
  </w:endnote>
  <w:endnote w:id="7">
    <w:p w14:paraId="4273713F" w14:textId="77777777" w:rsidR="002C460B" w:rsidRPr="000B27E9" w:rsidRDefault="002C460B" w:rsidP="67A9E11E">
      <w:pPr>
        <w:pStyle w:val="EndnoteText"/>
      </w:pPr>
      <w:r w:rsidRPr="67A9E11E">
        <w:rPr>
          <w:rStyle w:val="EndnoteReference"/>
          <w:rFonts w:ascii="Calibri" w:eastAsia="Calibri" w:hAnsi="Calibri" w:cs="Calibri"/>
        </w:rPr>
        <w:endnoteRef/>
      </w:r>
      <w:r w:rsidR="67A9E11E" w:rsidRPr="67A9E11E">
        <w:rPr>
          <w:rFonts w:ascii="Calibri" w:eastAsia="Calibri" w:hAnsi="Calibri" w:cs="Calibri"/>
        </w:rPr>
        <w:t xml:space="preserve"> </w:t>
      </w:r>
      <w:r w:rsidR="67A9E11E" w:rsidRPr="67A9E11E">
        <w:rPr>
          <w:rFonts w:ascii="Calibri" w:eastAsia="Calibri" w:hAnsi="Calibri" w:cs="Calibri"/>
          <w:color w:val="212121"/>
          <w:shd w:val="clear" w:color="auto" w:fill="FFFFFF"/>
        </w:rPr>
        <w:t>Committee to Review Adverse Effects of Vaccines; Institute of Medicine. Adverse Effects of Vaccines: Evidence and Causality. Stratton K, Ford A, Rusch E, Clayton EW, editors. Washington (DC): National Academies Press (US); 2011 Aug 25. PMID: 24624471.</w:t>
      </w:r>
    </w:p>
  </w:endnote>
  <w:endnote w:id="8">
    <w:p w14:paraId="767210C2" w14:textId="77777777" w:rsidR="002C460B" w:rsidRPr="000B27E9" w:rsidRDefault="002C460B" w:rsidP="67A9E11E">
      <w:pPr>
        <w:pStyle w:val="EndnoteText"/>
      </w:pPr>
      <w:r w:rsidRPr="67A9E11E">
        <w:rPr>
          <w:rStyle w:val="EndnoteReference"/>
          <w:rFonts w:ascii="Calibri" w:eastAsia="Calibri" w:hAnsi="Calibri" w:cs="Calibri"/>
        </w:rPr>
        <w:endnoteRef/>
      </w:r>
      <w:r w:rsidR="67A9E11E" w:rsidRPr="67A9E11E">
        <w:rPr>
          <w:rFonts w:ascii="Calibri" w:eastAsia="Calibri" w:hAnsi="Calibri" w:cs="Calibri"/>
        </w:rPr>
        <w:t xml:space="preserve"> Institute of Medicine. 2013. The Childhood Immunization Schedule and Safety: Stakeholder Concerns, Scientific Evidence, and Future Studies. Washington, DC: The National Academies Press. </w:t>
      </w:r>
      <w:hyperlink r:id="rId4" w:history="1">
        <w:r w:rsidR="67A9E11E" w:rsidRPr="67A9E11E">
          <w:rPr>
            <w:rStyle w:val="Hyperlink"/>
            <w:rFonts w:ascii="Calibri" w:eastAsia="Calibri" w:hAnsi="Calibri" w:cs="Calibri"/>
          </w:rPr>
          <w:t>https://doi.org/10.17226/13563</w:t>
        </w:r>
      </w:hyperlink>
    </w:p>
  </w:endnote>
  <w:endnote w:id="9">
    <w:p w14:paraId="69C57C82" w14:textId="77777777" w:rsidR="000B27E9" w:rsidRPr="000B27E9" w:rsidRDefault="000B27E9" w:rsidP="67A9E11E">
      <w:pPr>
        <w:pStyle w:val="EndnoteText"/>
      </w:pPr>
      <w:r w:rsidRPr="67A9E11E">
        <w:rPr>
          <w:rStyle w:val="EndnoteReference"/>
          <w:rFonts w:ascii="Calibri" w:eastAsia="Calibri" w:hAnsi="Calibri" w:cs="Calibri"/>
        </w:rPr>
        <w:endnoteRef/>
      </w:r>
      <w:r w:rsidR="67A9E11E" w:rsidRPr="67A9E11E">
        <w:rPr>
          <w:rFonts w:ascii="Calibri" w:eastAsia="Calibri" w:hAnsi="Calibri" w:cs="Calibri"/>
        </w:rPr>
        <w:t xml:space="preserve"> Di </w:t>
      </w:r>
      <w:r w:rsidR="67A9E11E" w:rsidRPr="67A9E11E">
        <w:rPr>
          <w:rFonts w:ascii="Calibri" w:eastAsia="Calibri" w:hAnsi="Calibri" w:cs="Calibri"/>
        </w:rPr>
        <w:t>Pietrantonj  C, Rivetti  A, Marchione  P, Debalini  MG, Demicheli  V. Vaccines for measles, mumps, rubella, and varicella in children. Cochrane Database of Systematic Reviews 2020, Issue 4. Art. No.: CD004407. DOI: 10.1002/14651858.CD004407.pub4. Accessed 26 January 2021.</w:t>
      </w:r>
    </w:p>
  </w:endnote>
  <w:endnote w:id="10">
    <w:p w14:paraId="390EB805" w14:textId="77777777" w:rsidR="002C460B" w:rsidRPr="002C460B" w:rsidRDefault="002C460B" w:rsidP="67A9E11E">
      <w:pPr>
        <w:pStyle w:val="EndnoteText"/>
      </w:pPr>
      <w:r w:rsidRPr="67A9E11E">
        <w:rPr>
          <w:rStyle w:val="EndnoteReference"/>
          <w:rFonts w:ascii="Calibri" w:eastAsia="Calibri" w:hAnsi="Calibri" w:cs="Calibri"/>
        </w:rPr>
        <w:endnoteRef/>
      </w:r>
      <w:r w:rsidR="67A9E11E" w:rsidRPr="67A9E11E">
        <w:rPr>
          <w:rFonts w:ascii="Calibri" w:eastAsia="Calibri" w:hAnsi="Calibri" w:cs="Calibri"/>
        </w:rPr>
        <w:t xml:space="preserve"> CDC. </w:t>
      </w:r>
      <w:r w:rsidR="67A9E11E" w:rsidRPr="67A9E11E">
        <w:rPr>
          <w:rFonts w:ascii="Calibri" w:eastAsia="Calibri" w:hAnsi="Calibri" w:cs="Calibri"/>
          <w:i/>
          <w:iCs/>
        </w:rPr>
        <w:t>Ensuring the Safety of Vaccines in the United States</w:t>
      </w:r>
      <w:r w:rsidR="67A9E11E" w:rsidRPr="67A9E11E">
        <w:rPr>
          <w:rFonts w:ascii="Calibri" w:eastAsia="Calibri" w:hAnsi="Calibri" w:cs="Calibri"/>
        </w:rPr>
        <w:t xml:space="preserve">. Updated January 2018.  Accessed January 2021. Available at: </w:t>
      </w:r>
      <w:hyperlink r:id="rId5" w:history="1">
        <w:r w:rsidR="67A9E11E" w:rsidRPr="67A9E11E">
          <w:rPr>
            <w:rStyle w:val="Hyperlink"/>
            <w:rFonts w:ascii="Calibri" w:eastAsia="Calibri" w:hAnsi="Calibri" w:cs="Calibri"/>
          </w:rPr>
          <w:t>Ensuring the Safety of Vaccines in the United States (cdc.gov)</w:t>
        </w:r>
      </w:hyperlink>
      <w:r w:rsidR="67A9E11E" w:rsidRPr="67A9E11E">
        <w:rPr>
          <w:rFonts w:ascii="Calibri" w:eastAsia="Calibri" w:hAnsi="Calibri" w:cs="Calibri"/>
        </w:rPr>
        <w:t>.</w:t>
      </w:r>
    </w:p>
  </w:endnote>
  <w:endnote w:id="11">
    <w:p w14:paraId="06DFD61C" w14:textId="77777777" w:rsidR="000B27E9" w:rsidRPr="000B27E9" w:rsidRDefault="000B27E9" w:rsidP="67A9E11E">
      <w:pPr>
        <w:pStyle w:val="EndnoteText"/>
      </w:pPr>
      <w:r w:rsidRPr="67A9E11E">
        <w:rPr>
          <w:rStyle w:val="EndnoteReference"/>
          <w:rFonts w:ascii="Calibri" w:eastAsia="Calibri" w:hAnsi="Calibri" w:cs="Calibri"/>
        </w:rPr>
        <w:endnoteRef/>
      </w:r>
      <w:r w:rsidR="67A9E11E" w:rsidRPr="67A9E11E">
        <w:rPr>
          <w:rFonts w:ascii="Calibri" w:eastAsia="Calibri" w:hAnsi="Calibri" w:cs="Calibri"/>
        </w:rPr>
        <w:t xml:space="preserve"> VAERS. </w:t>
      </w:r>
      <w:r w:rsidR="67A9E11E" w:rsidRPr="67A9E11E">
        <w:rPr>
          <w:rFonts w:ascii="Calibri" w:eastAsia="Calibri" w:hAnsi="Calibri" w:cs="Calibri"/>
          <w:i/>
          <w:iCs/>
        </w:rPr>
        <w:t xml:space="preserve">About VAERS. </w:t>
      </w:r>
      <w:r w:rsidR="67A9E11E" w:rsidRPr="67A9E11E">
        <w:rPr>
          <w:rFonts w:ascii="Calibri" w:eastAsia="Calibri" w:hAnsi="Calibri" w:cs="Calibri"/>
        </w:rPr>
        <w:t xml:space="preserve">Accessed January 2021. Available at: </w:t>
      </w:r>
      <w:hyperlink r:id="rId6" w:history="1">
        <w:r w:rsidR="67A9E11E" w:rsidRPr="67A9E11E">
          <w:rPr>
            <w:rStyle w:val="Hyperlink"/>
            <w:rFonts w:ascii="Calibri" w:eastAsia="Calibri" w:hAnsi="Calibri" w:cs="Calibri"/>
          </w:rPr>
          <w:t>VAERS - About Us (hhs.gov)</w:t>
        </w:r>
      </w:hyperlink>
      <w:r w:rsidR="67A9E11E" w:rsidRPr="67A9E11E">
        <w:rPr>
          <w:rFonts w:ascii="Calibri" w:eastAsia="Calibri" w:hAnsi="Calibri" w:cs="Calibri"/>
        </w:rPr>
        <w:t>.</w:t>
      </w:r>
    </w:p>
  </w:endnote>
  <w:endnote w:id="12">
    <w:p w14:paraId="05D8870B" w14:textId="77777777" w:rsidR="007F36EC" w:rsidRDefault="007F36EC" w:rsidP="67A9E11E">
      <w:pPr>
        <w:pStyle w:val="EndnoteText"/>
      </w:pPr>
      <w:r w:rsidRPr="67A9E11E">
        <w:rPr>
          <w:rStyle w:val="EndnoteReference"/>
          <w:rFonts w:ascii="Calibri" w:eastAsia="Calibri" w:hAnsi="Calibri" w:cs="Calibri"/>
        </w:rPr>
        <w:endnoteRef/>
      </w:r>
      <w:r w:rsidR="67A9E11E" w:rsidRPr="67A9E11E">
        <w:rPr>
          <w:rFonts w:ascii="Calibri" w:eastAsia="Calibri" w:hAnsi="Calibri" w:cs="Calibri"/>
        </w:rPr>
        <w:t xml:space="preserve"> CDC. </w:t>
      </w:r>
      <w:r w:rsidR="67A9E11E" w:rsidRPr="67A9E11E">
        <w:rPr>
          <w:rFonts w:ascii="Calibri" w:eastAsia="Calibri" w:hAnsi="Calibri" w:cs="Calibri"/>
          <w:i/>
          <w:iCs/>
        </w:rPr>
        <w:t>Vaccine Safety Datalink (VSD)</w:t>
      </w:r>
      <w:r w:rsidR="67A9E11E" w:rsidRPr="67A9E11E">
        <w:rPr>
          <w:rFonts w:ascii="Calibri" w:eastAsia="Calibri" w:hAnsi="Calibri" w:cs="Calibri"/>
        </w:rPr>
        <w:t xml:space="preserve">. Updated August 2020. Accessed January 2021.  Available at: </w:t>
      </w:r>
      <w:hyperlink r:id="rId7" w:history="1">
        <w:r w:rsidR="67A9E11E" w:rsidRPr="67A9E11E">
          <w:rPr>
            <w:rStyle w:val="Hyperlink"/>
            <w:rFonts w:ascii="Calibri" w:eastAsia="Calibri" w:hAnsi="Calibri" w:cs="Calibri"/>
          </w:rPr>
          <w:t>Vaccine Safety Datalink (VSD) | VSD | Monitoring | Ensuring Safety | Vaccine Safety | CDC</w:t>
        </w:r>
      </w:hyperlink>
    </w:p>
  </w:endnote>
  <w:endnote w:id="13">
    <w:p w14:paraId="7B4FBCCE" w14:textId="77777777" w:rsidR="00BB0898" w:rsidRPr="00BB0898" w:rsidRDefault="00BB0898" w:rsidP="67A9E11E">
      <w:pPr>
        <w:pStyle w:val="EndnoteText"/>
      </w:pPr>
      <w:r w:rsidRPr="67A9E11E">
        <w:rPr>
          <w:rStyle w:val="EndnoteReference"/>
          <w:rFonts w:ascii="Calibri" w:eastAsia="Calibri" w:hAnsi="Calibri" w:cs="Calibri"/>
        </w:rPr>
        <w:endnoteRef/>
      </w:r>
      <w:r w:rsidR="67A9E11E" w:rsidRPr="67A9E11E">
        <w:rPr>
          <w:rFonts w:ascii="Calibri" w:eastAsia="Calibri" w:hAnsi="Calibri" w:cs="Calibri"/>
        </w:rPr>
        <w:t xml:space="preserve"> CDC. </w:t>
      </w:r>
      <w:r w:rsidR="67A9E11E" w:rsidRPr="67A9E11E">
        <w:rPr>
          <w:rFonts w:ascii="Calibri" w:eastAsia="Calibri" w:hAnsi="Calibri" w:cs="Calibri"/>
          <w:i/>
          <w:iCs/>
        </w:rPr>
        <w:t>Clinical Immunization Safety Assessment (CISA) Project</w:t>
      </w:r>
      <w:r w:rsidR="67A9E11E" w:rsidRPr="67A9E11E">
        <w:rPr>
          <w:rFonts w:ascii="Calibri" w:eastAsia="Calibri" w:hAnsi="Calibri" w:cs="Calibri"/>
        </w:rPr>
        <w:t xml:space="preserve">. Updated December 2020. Accessed January 2021.  Available at: </w:t>
      </w:r>
      <w:hyperlink r:id="rId8" w:history="1">
        <w:r w:rsidR="67A9E11E" w:rsidRPr="67A9E11E">
          <w:rPr>
            <w:rStyle w:val="Hyperlink"/>
            <w:rFonts w:ascii="Calibri" w:eastAsia="Calibri" w:hAnsi="Calibri" w:cs="Calibri"/>
          </w:rPr>
          <w:t>Clinical Immunization Safety Assessment (CISA) Project | CISA | Monitoring | Ensuring Safety | Vaccine Safety | CDC</w:t>
        </w:r>
      </w:hyperlink>
    </w:p>
  </w:endnote>
  <w:endnote w:id="14">
    <w:p w14:paraId="4EDCF15F" w14:textId="77777777" w:rsidR="00BB0898" w:rsidRPr="00BB0898" w:rsidRDefault="00BB0898" w:rsidP="67A9E11E">
      <w:pPr>
        <w:pStyle w:val="EndnoteText"/>
      </w:pPr>
      <w:r w:rsidRPr="67A9E11E">
        <w:rPr>
          <w:rStyle w:val="EndnoteReference"/>
          <w:rFonts w:ascii="Calibri" w:eastAsia="Calibri" w:hAnsi="Calibri" w:cs="Calibri"/>
        </w:rPr>
        <w:endnoteRef/>
      </w:r>
      <w:r w:rsidR="67A9E11E" w:rsidRPr="67A9E11E">
        <w:rPr>
          <w:rFonts w:ascii="Calibri" w:eastAsia="Calibri" w:hAnsi="Calibri" w:cs="Calibri"/>
        </w:rPr>
        <w:t xml:space="preserve"> CDC. </w:t>
      </w:r>
      <w:r w:rsidR="67A9E11E" w:rsidRPr="67A9E11E">
        <w:rPr>
          <w:rFonts w:ascii="Calibri" w:eastAsia="Calibri" w:hAnsi="Calibri" w:cs="Calibri"/>
          <w:i/>
          <w:iCs/>
        </w:rPr>
        <w:t>V-safe After Vaccination Health Checker</w:t>
      </w:r>
      <w:r w:rsidR="67A9E11E" w:rsidRPr="67A9E11E">
        <w:rPr>
          <w:rFonts w:ascii="Calibri" w:eastAsia="Calibri" w:hAnsi="Calibri" w:cs="Calibri"/>
        </w:rPr>
        <w:t xml:space="preserve">. Updated January 2021. Accessed January 2021.  Available at: </w:t>
      </w:r>
      <w:hyperlink r:id="rId9" w:history="1">
        <w:r w:rsidR="67A9E11E" w:rsidRPr="67A9E11E">
          <w:rPr>
            <w:rStyle w:val="Hyperlink"/>
            <w:rFonts w:ascii="Calibri" w:eastAsia="Calibri" w:hAnsi="Calibri" w:cs="Calibri"/>
          </w:rPr>
          <w:t>V-safe After Vaccination Health Checker | CDC</w:t>
        </w:r>
      </w:hyperlink>
    </w:p>
  </w:endnote>
  <w:endnote w:id="15">
    <w:p w14:paraId="220118A3" w14:textId="77777777" w:rsidR="00801D7C" w:rsidRPr="00801D7C" w:rsidRDefault="00801D7C" w:rsidP="67A9E11E">
      <w:pPr>
        <w:pStyle w:val="EndnoteText"/>
      </w:pPr>
      <w:r w:rsidRPr="67A9E11E">
        <w:rPr>
          <w:rStyle w:val="EndnoteReference"/>
          <w:rFonts w:ascii="Calibri" w:eastAsia="Calibri" w:hAnsi="Calibri" w:cs="Calibri"/>
        </w:rPr>
        <w:endnoteRef/>
      </w:r>
      <w:r w:rsidR="67A9E11E" w:rsidRPr="67A9E11E">
        <w:rPr>
          <w:rFonts w:ascii="Calibri" w:eastAsia="Calibri" w:hAnsi="Calibri" w:cs="Calibri"/>
        </w:rPr>
        <w:t xml:space="preserve"> Vaccinate Your Family. </w:t>
      </w:r>
      <w:r w:rsidR="67A9E11E" w:rsidRPr="67A9E11E">
        <w:rPr>
          <w:rFonts w:ascii="Calibri" w:eastAsia="Calibri" w:hAnsi="Calibri" w:cs="Calibri"/>
          <w:i/>
          <w:iCs/>
        </w:rPr>
        <w:t>Vaccines are Cost Saving</w:t>
      </w:r>
      <w:r w:rsidR="67A9E11E" w:rsidRPr="67A9E11E">
        <w:rPr>
          <w:rFonts w:ascii="Calibri" w:eastAsia="Calibri" w:hAnsi="Calibri" w:cs="Calibri"/>
        </w:rPr>
        <w:t xml:space="preserve">. Accessed January 2021. Available at: </w:t>
      </w:r>
      <w:hyperlink r:id="rId10" w:history="1">
        <w:r w:rsidR="67A9E11E" w:rsidRPr="67A9E11E">
          <w:rPr>
            <w:rStyle w:val="Hyperlink"/>
            <w:rFonts w:ascii="Calibri" w:eastAsia="Calibri" w:hAnsi="Calibri" w:cs="Calibri"/>
          </w:rPr>
          <w:t>Vaccines Are Cost Saving | Vaccinate Your Family</w:t>
        </w:r>
      </w:hyperlink>
    </w:p>
  </w:endnote>
  <w:endnote w:id="16">
    <w:p w14:paraId="181962F1" w14:textId="77777777" w:rsidR="00801D7C" w:rsidRPr="00801D7C" w:rsidRDefault="00801D7C" w:rsidP="67A9E11E">
      <w:pPr>
        <w:pStyle w:val="EndnoteText"/>
      </w:pPr>
      <w:r w:rsidRPr="67A9E11E">
        <w:rPr>
          <w:rStyle w:val="EndnoteReference"/>
          <w:rFonts w:ascii="Calibri" w:eastAsia="Calibri" w:hAnsi="Calibri" w:cs="Calibri"/>
        </w:rPr>
        <w:endnoteRef/>
      </w:r>
      <w:r w:rsidR="67A9E11E" w:rsidRPr="67A9E11E">
        <w:rPr>
          <w:rFonts w:ascii="Calibri" w:eastAsia="Calibri" w:hAnsi="Calibri" w:cs="Calibri"/>
        </w:rPr>
        <w:t xml:space="preserve"> Whitney CG, Zhou F, Singleton J, </w:t>
      </w:r>
      <w:r w:rsidR="67A9E11E" w:rsidRPr="67A9E11E">
        <w:rPr>
          <w:rFonts w:ascii="Calibri" w:eastAsia="Calibri" w:hAnsi="Calibri" w:cs="Calibri"/>
        </w:rPr>
        <w:t xml:space="preserve">Schuchat A. Benefits from Immunization During the Vaccines for Children Program Era – United States, 1994-2013. </w:t>
      </w:r>
      <w:r w:rsidR="67A9E11E" w:rsidRPr="67A9E11E">
        <w:rPr>
          <w:rFonts w:ascii="Calibri" w:eastAsia="Calibri" w:hAnsi="Calibri" w:cs="Calibri"/>
          <w:i/>
          <w:iCs/>
        </w:rPr>
        <w:t>MMWR.</w:t>
      </w:r>
      <w:r w:rsidR="67A9E11E" w:rsidRPr="67A9E11E">
        <w:rPr>
          <w:rFonts w:ascii="Calibri" w:eastAsia="Calibri" w:hAnsi="Calibri" w:cs="Calibri"/>
        </w:rPr>
        <w:t xml:space="preserve"> 2014;63(16):352-355. Available at: </w:t>
      </w:r>
      <w:hyperlink r:id="rId11" w:history="1">
        <w:r w:rsidR="67A9E11E" w:rsidRPr="67A9E11E">
          <w:rPr>
            <w:rStyle w:val="Hyperlink"/>
            <w:rFonts w:ascii="Calibri" w:eastAsia="Calibri" w:hAnsi="Calibri" w:cs="Calibri"/>
          </w:rPr>
          <w:t>VFC | Vaccines for Children | Protecting Children | CDC</w:t>
        </w:r>
      </w:hyperlink>
    </w:p>
  </w:endnote>
  <w:endnote w:id="17">
    <w:p w14:paraId="7AF96C57" w14:textId="77777777" w:rsidR="00DB223B" w:rsidRPr="00DB223B" w:rsidRDefault="00DB223B" w:rsidP="67A9E11E">
      <w:pPr>
        <w:pStyle w:val="EndnoteText"/>
      </w:pPr>
      <w:r w:rsidRPr="67A9E11E">
        <w:rPr>
          <w:rStyle w:val="EndnoteReference"/>
          <w:rFonts w:ascii="Calibri" w:eastAsia="Calibri" w:hAnsi="Calibri" w:cs="Calibri"/>
        </w:rPr>
        <w:endnoteRef/>
      </w:r>
      <w:r w:rsidR="67A9E11E" w:rsidRPr="67A9E11E">
        <w:rPr>
          <w:rFonts w:ascii="Calibri" w:eastAsia="Calibri" w:hAnsi="Calibri" w:cs="Calibri"/>
        </w:rPr>
        <w:t xml:space="preserve"> </w:t>
      </w:r>
      <w:r w:rsidR="67A9E11E" w:rsidRPr="67A9E11E">
        <w:rPr>
          <w:rFonts w:ascii="Calibri" w:eastAsia="Calibri" w:hAnsi="Calibri" w:cs="Calibri"/>
        </w:rPr>
        <w:t xml:space="preserve">MNDoH. </w:t>
      </w:r>
      <w:r w:rsidR="67A9E11E" w:rsidRPr="67A9E11E">
        <w:rPr>
          <w:rFonts w:ascii="Calibri" w:eastAsia="Calibri" w:hAnsi="Calibri" w:cs="Calibri"/>
          <w:i/>
          <w:iCs/>
        </w:rPr>
        <w:t>News Release: Health officials declare end of measles outbreak</w:t>
      </w:r>
      <w:r w:rsidR="67A9E11E" w:rsidRPr="67A9E11E">
        <w:rPr>
          <w:rFonts w:ascii="Calibri" w:eastAsia="Calibri" w:hAnsi="Calibri" w:cs="Calibri"/>
        </w:rPr>
        <w:t xml:space="preserve">. Released August, 2017. Available at: </w:t>
      </w:r>
      <w:hyperlink r:id="rId12" w:anchor=":~:text=The%20Minnesota%20Department%20of%20Health,occurred%2C%20mostly%20in%20unvaccinated%20individuals." w:history="1">
        <w:r w:rsidR="67A9E11E" w:rsidRPr="67A9E11E">
          <w:rPr>
            <w:rStyle w:val="Hyperlink"/>
            <w:rFonts w:ascii="Calibri" w:eastAsia="Calibri" w:hAnsi="Calibri" w:cs="Calibri"/>
          </w:rPr>
          <w:t>News release: Health officials declare end of measles outbreak (state.mn.us)</w:t>
        </w:r>
      </w:hyperlink>
    </w:p>
  </w:endnote>
  <w:endnote w:id="18">
    <w:p w14:paraId="25A14E50" w14:textId="77777777" w:rsidR="00DB223B" w:rsidRPr="00DB223B" w:rsidRDefault="00DB223B" w:rsidP="67A9E11E">
      <w:pPr>
        <w:pStyle w:val="EndnoteText"/>
        <w:rPr>
          <w:i/>
          <w:iCs/>
        </w:rPr>
      </w:pPr>
      <w:r w:rsidRPr="67A9E11E">
        <w:rPr>
          <w:rStyle w:val="EndnoteReference"/>
          <w:rFonts w:ascii="Calibri" w:eastAsia="Calibri" w:hAnsi="Calibri" w:cs="Calibri"/>
        </w:rPr>
        <w:endnoteRef/>
      </w:r>
      <w:r w:rsidR="67A9E11E" w:rsidRPr="67A9E11E">
        <w:rPr>
          <w:rFonts w:ascii="Calibri" w:eastAsia="Calibri" w:hAnsi="Calibri" w:cs="Calibri"/>
        </w:rPr>
        <w:t xml:space="preserve"> McLaughlin JM, McGinnis JJ, Tan L, </w:t>
      </w:r>
      <w:r w:rsidR="67A9E11E" w:rsidRPr="67A9E11E">
        <w:rPr>
          <w:rFonts w:ascii="Calibri" w:eastAsia="Calibri" w:hAnsi="Calibri" w:cs="Calibri"/>
        </w:rPr>
        <w:t>Mercatante A, Fortuna J. Estimated Human and Economic Burden of Four Major Adult Vaccine-Preventable Diseases in the United States, 2013. </w:t>
      </w:r>
      <w:r w:rsidR="67A9E11E" w:rsidRPr="67A9E11E">
        <w:rPr>
          <w:rFonts w:ascii="Calibri" w:eastAsia="Calibri" w:hAnsi="Calibri" w:cs="Calibri"/>
          <w:i/>
          <w:iCs/>
        </w:rPr>
        <w:t>J Prim Prev</w:t>
      </w:r>
      <w:r w:rsidR="67A9E11E" w:rsidRPr="67A9E11E">
        <w:rPr>
          <w:rFonts w:ascii="Calibri" w:eastAsia="Calibri" w:hAnsi="Calibri" w:cs="Calibri"/>
        </w:rPr>
        <w:t>. 2015;36(4):259-273. doi:10.1007/s10935-015-0394-3.</w:t>
      </w:r>
    </w:p>
  </w:endnote>
  <w:endnote w:id="19">
    <w:p w14:paraId="78E13E7D" w14:textId="19CB07E6" w:rsidR="5FDCF3DE" w:rsidRDefault="5FDCF3DE" w:rsidP="67A9E11E">
      <w:pPr>
        <w:pStyle w:val="EndnoteText"/>
      </w:pPr>
      <w:r w:rsidRPr="67A9E11E">
        <w:rPr>
          <w:rStyle w:val="EndnoteReference"/>
          <w:rFonts w:ascii="Calibri" w:eastAsia="Calibri" w:hAnsi="Calibri" w:cs="Calibri"/>
        </w:rPr>
        <w:endnoteRef/>
      </w:r>
      <w:r w:rsidR="67A9E11E" w:rsidRPr="67A9E11E">
        <w:rPr>
          <w:rFonts w:ascii="Calibri" w:eastAsia="Calibri" w:hAnsi="Calibri" w:cs="Calibri"/>
        </w:rPr>
        <w:t xml:space="preserve">Hill HA, </w:t>
      </w:r>
      <w:r w:rsidR="67A9E11E" w:rsidRPr="67A9E11E">
        <w:rPr>
          <w:rFonts w:ascii="Calibri" w:eastAsia="Calibri" w:hAnsi="Calibri" w:cs="Calibri"/>
        </w:rPr>
        <w:t xml:space="preserve">Yankey D, Elam-Evans LD, Singleton JA, Pingali SC, Santibanez TA. Vaccination Coverage by Age 24 Months Among Children Born in 2016 and 2017 — National Immunization Survey-Child, United States, 2017–2019. MMWR Morb Mortal Wkly Rep 2020;69:1505–1511. DOI: </w:t>
      </w:r>
      <w:hyperlink r:id="rId13">
        <w:r w:rsidR="67A9E11E" w:rsidRPr="67A9E11E">
          <w:rPr>
            <w:rStyle w:val="Hyperlink"/>
            <w:rFonts w:ascii="Calibri" w:eastAsia="Calibri" w:hAnsi="Calibri" w:cs="Calibri"/>
          </w:rPr>
          <w:t>http://dx.doi.org/10.15585/mmwr.mm6942a1</w:t>
        </w:r>
      </w:hyperlink>
    </w:p>
  </w:endnote>
  <w:endnote w:id="20">
    <w:p w14:paraId="6D20788B" w14:textId="66294534" w:rsidR="525D4209" w:rsidRDefault="525D4209" w:rsidP="67A9E11E">
      <w:pPr>
        <w:pStyle w:val="EndnoteText"/>
      </w:pPr>
      <w:r w:rsidRPr="67A9E11E">
        <w:rPr>
          <w:rStyle w:val="EndnoteReference"/>
          <w:rFonts w:ascii="Calibri" w:eastAsia="Calibri" w:hAnsi="Calibri" w:cs="Calibri"/>
        </w:rPr>
        <w:endnoteRef/>
      </w:r>
      <w:r w:rsidR="67A9E11E" w:rsidRPr="67A9E11E">
        <w:rPr>
          <w:rFonts w:ascii="Calibri" w:eastAsia="Calibri" w:hAnsi="Calibri" w:cs="Calibri"/>
        </w:rPr>
        <w:t xml:space="preserve"> Research America. </w:t>
      </w:r>
      <w:r w:rsidR="67A9E11E" w:rsidRPr="67A9E11E">
        <w:rPr>
          <w:rFonts w:ascii="Calibri" w:eastAsia="Calibri" w:hAnsi="Calibri" w:cs="Calibri"/>
          <w:i/>
          <w:iCs/>
        </w:rPr>
        <w:t>Americans Speak Out on Vaccines and Infectious Disease</w:t>
      </w:r>
      <w:r w:rsidR="67A9E11E" w:rsidRPr="67A9E11E">
        <w:rPr>
          <w:rFonts w:ascii="Calibri" w:eastAsia="Calibri" w:hAnsi="Calibri" w:cs="Calibri"/>
        </w:rPr>
        <w:t xml:space="preserve">. Published May 2018. Accessed January 2021. Available at: </w:t>
      </w:r>
      <w:hyperlink r:id="rId14">
        <w:r w:rsidR="67A9E11E" w:rsidRPr="67A9E11E">
          <w:rPr>
            <w:rStyle w:val="Hyperlink"/>
            <w:rFonts w:ascii="Calibri" w:eastAsia="Calibri" w:hAnsi="Calibri" w:cs="Calibri"/>
          </w:rPr>
          <w:t>Layout 1 (asm.org)</w:t>
        </w:r>
      </w:hyperlink>
    </w:p>
  </w:endnote>
  <w:endnote w:id="21">
    <w:p w14:paraId="3883B54A" w14:textId="607C21CA" w:rsidR="720DBCFD" w:rsidRDefault="720DBCFD" w:rsidP="67A9E11E">
      <w:pPr>
        <w:pStyle w:val="EndnoteText"/>
      </w:pPr>
      <w:r w:rsidRPr="67A9E11E">
        <w:rPr>
          <w:rStyle w:val="EndnoteReference"/>
          <w:rFonts w:ascii="Calibri" w:eastAsia="Calibri" w:hAnsi="Calibri" w:cs="Calibri"/>
        </w:rPr>
        <w:endnoteRef/>
      </w:r>
      <w:r w:rsidR="67A9E11E" w:rsidRPr="67A9E11E">
        <w:rPr>
          <w:rFonts w:ascii="Calibri" w:eastAsia="Calibri" w:hAnsi="Calibri" w:cs="Calibri"/>
        </w:rPr>
        <w:t xml:space="preserve"> vaccines.gov. </w:t>
      </w:r>
      <w:r w:rsidR="67A9E11E" w:rsidRPr="67A9E11E">
        <w:rPr>
          <w:rFonts w:ascii="Calibri" w:eastAsia="Calibri" w:hAnsi="Calibri" w:cs="Calibri"/>
          <w:i/>
          <w:iCs/>
        </w:rPr>
        <w:t>Vaccines Protect Your Community</w:t>
      </w:r>
      <w:r w:rsidR="67A9E11E" w:rsidRPr="67A9E11E">
        <w:rPr>
          <w:rFonts w:ascii="Calibri" w:eastAsia="Calibri" w:hAnsi="Calibri" w:cs="Calibri"/>
        </w:rPr>
        <w:t xml:space="preserve">. Reviewed February 2020. Accessed January 2021. Available at: </w:t>
      </w:r>
      <w:hyperlink r:id="rId15">
        <w:r w:rsidR="67A9E11E" w:rsidRPr="67A9E11E">
          <w:rPr>
            <w:rStyle w:val="Hyperlink"/>
            <w:rFonts w:ascii="Calibri" w:eastAsia="Calibri" w:hAnsi="Calibri" w:cs="Calibri"/>
          </w:rPr>
          <w:t>Vaccines Protect Your Community | Vaccines</w:t>
        </w:r>
      </w:hyperlink>
    </w:p>
  </w:endnote>
  <w:endnote w:id="22">
    <w:p w14:paraId="6ACC0959" w14:textId="7F0EBB22" w:rsidR="720DBCFD" w:rsidRDefault="720DBCFD" w:rsidP="67A9E11E">
      <w:pPr>
        <w:pStyle w:val="EndnoteText"/>
      </w:pPr>
      <w:r w:rsidRPr="67A9E11E">
        <w:rPr>
          <w:rStyle w:val="EndnoteReference"/>
          <w:rFonts w:ascii="Calibri" w:eastAsia="Calibri" w:hAnsi="Calibri" w:cs="Calibri"/>
        </w:rPr>
        <w:endnoteRef/>
      </w:r>
      <w:r w:rsidR="67A9E11E" w:rsidRPr="67A9E11E">
        <w:rPr>
          <w:rFonts w:ascii="Calibri" w:eastAsia="Calibri" w:hAnsi="Calibri" w:cs="Calibri"/>
        </w:rPr>
        <w:t xml:space="preserve"> Vaccinate Your Family. </w:t>
      </w:r>
      <w:r w:rsidR="67A9E11E" w:rsidRPr="67A9E11E">
        <w:rPr>
          <w:rFonts w:ascii="Calibri" w:eastAsia="Calibri" w:hAnsi="Calibri" w:cs="Calibri"/>
          <w:i/>
          <w:iCs/>
        </w:rPr>
        <w:t>Vaccines Protect Communities</w:t>
      </w:r>
      <w:r w:rsidR="67A9E11E" w:rsidRPr="67A9E11E">
        <w:rPr>
          <w:rFonts w:ascii="Calibri" w:eastAsia="Calibri" w:hAnsi="Calibri" w:cs="Calibri"/>
        </w:rPr>
        <w:t xml:space="preserve">. Accessed January 2021. Available at: </w:t>
      </w:r>
      <w:hyperlink r:id="rId16">
        <w:r w:rsidR="67A9E11E" w:rsidRPr="67A9E11E">
          <w:rPr>
            <w:rStyle w:val="Hyperlink"/>
            <w:rFonts w:ascii="Calibri" w:eastAsia="Calibri" w:hAnsi="Calibri" w:cs="Calibri"/>
          </w:rPr>
          <w:t>Vaccines Protect Communities | Vaccinate Your Family</w:t>
        </w:r>
      </w:hyperlink>
    </w:p>
  </w:endnote>
  <w:endnote w:id="23">
    <w:p w14:paraId="671D09AA" w14:textId="67A0CDD1" w:rsidR="720DBCFD" w:rsidRDefault="720DBCFD" w:rsidP="67A9E11E">
      <w:pPr>
        <w:pStyle w:val="EndnoteText"/>
        <w:rPr>
          <w:i/>
          <w:iCs/>
        </w:rPr>
      </w:pPr>
      <w:r w:rsidRPr="67A9E11E">
        <w:rPr>
          <w:rStyle w:val="EndnoteReference"/>
          <w:rFonts w:ascii="Calibri" w:eastAsia="Calibri" w:hAnsi="Calibri" w:cs="Calibri"/>
        </w:rPr>
        <w:endnoteRef/>
      </w:r>
      <w:r w:rsidR="67A9E11E" w:rsidRPr="67A9E11E">
        <w:rPr>
          <w:rFonts w:ascii="Calibri" w:eastAsia="Calibri" w:hAnsi="Calibri" w:cs="Calibri"/>
        </w:rPr>
        <w:t xml:space="preserve"> WHO. </w:t>
      </w:r>
      <w:r w:rsidR="67A9E11E" w:rsidRPr="67A9E11E">
        <w:rPr>
          <w:rFonts w:ascii="Calibri" w:eastAsia="Calibri" w:hAnsi="Calibri" w:cs="Calibri"/>
          <w:i/>
          <w:iCs/>
        </w:rPr>
        <w:t>How do vaccines work?</w:t>
      </w:r>
      <w:r w:rsidR="67A9E11E" w:rsidRPr="67A9E11E">
        <w:rPr>
          <w:rFonts w:ascii="Calibri" w:eastAsia="Calibri" w:hAnsi="Calibri" w:cs="Calibri"/>
        </w:rPr>
        <w:t xml:space="preserve"> Reviewed December 2020. Accessed January 2021. Available at: </w:t>
      </w:r>
      <w:hyperlink r:id="rId17">
        <w:r w:rsidR="67A9E11E" w:rsidRPr="67A9E11E">
          <w:rPr>
            <w:rStyle w:val="Hyperlink"/>
            <w:rFonts w:ascii="Calibri" w:eastAsia="Calibri" w:hAnsi="Calibri" w:cs="Calibri"/>
          </w:rPr>
          <w:t>How do vaccines work? (who.int)</w:t>
        </w:r>
      </w:hyperlink>
    </w:p>
  </w:endnote>
  <w:endnote w:id="24">
    <w:p w14:paraId="180276C8" w14:textId="77777777" w:rsidR="29F87363" w:rsidRDefault="29F87363" w:rsidP="29F87363">
      <w:pPr>
        <w:pStyle w:val="EndnoteText"/>
      </w:pPr>
      <w:r w:rsidRPr="29F87363">
        <w:rPr>
          <w:rStyle w:val="EndnoteReference"/>
          <w:rFonts w:ascii="Calibri" w:eastAsia="Calibri" w:hAnsi="Calibri" w:cs="Calibri"/>
        </w:rPr>
        <w:endnoteRef/>
      </w:r>
      <w:r w:rsidRPr="29F87363">
        <w:rPr>
          <w:rFonts w:ascii="Calibri" w:eastAsia="Calibri" w:hAnsi="Calibri" w:cs="Calibri"/>
        </w:rPr>
        <w:t xml:space="preserve"> CDC. </w:t>
      </w:r>
      <w:r w:rsidRPr="29F87363">
        <w:rPr>
          <w:rFonts w:ascii="Calibri" w:eastAsia="Calibri" w:hAnsi="Calibri" w:cs="Calibri"/>
          <w:i/>
          <w:iCs/>
        </w:rPr>
        <w:t>What Would Happen If We Stopped Vaccinating?</w:t>
      </w:r>
      <w:r w:rsidRPr="29F87363">
        <w:rPr>
          <w:rFonts w:ascii="Calibri" w:eastAsia="Calibri" w:hAnsi="Calibri" w:cs="Calibri"/>
        </w:rPr>
        <w:t xml:space="preserve"> Reviewed June 2018. Accessed January 2021. Available at: </w:t>
      </w:r>
      <w:hyperlink r:id="rId18">
        <w:r w:rsidRPr="29F87363">
          <w:rPr>
            <w:rStyle w:val="Hyperlink"/>
            <w:rFonts w:ascii="Calibri" w:eastAsia="Calibri" w:hAnsi="Calibri" w:cs="Calibri"/>
          </w:rPr>
          <w:t>What Would Happen If We Stopped Vaccinations? | CDC</w:t>
        </w:r>
      </w:hyperlink>
    </w:p>
  </w:endnote>
  <w:endnote w:id="25">
    <w:p w14:paraId="333A72E5" w14:textId="77777777" w:rsidR="00245E4C" w:rsidRPr="00245E4C" w:rsidRDefault="00245E4C" w:rsidP="67A9E11E">
      <w:pPr>
        <w:pStyle w:val="EndnoteText"/>
      </w:pPr>
      <w:r w:rsidRPr="67A9E11E">
        <w:rPr>
          <w:rStyle w:val="EndnoteReference"/>
          <w:rFonts w:ascii="Calibri" w:eastAsia="Calibri" w:hAnsi="Calibri" w:cs="Calibri"/>
        </w:rPr>
        <w:endnoteRef/>
      </w:r>
      <w:r w:rsidR="67A9E11E" w:rsidRPr="67A9E11E">
        <w:rPr>
          <w:rFonts w:ascii="Calibri" w:eastAsia="Calibri" w:hAnsi="Calibri" w:cs="Calibri"/>
        </w:rPr>
        <w:t xml:space="preserve"> NCSL. </w:t>
      </w:r>
      <w:r w:rsidR="67A9E11E" w:rsidRPr="67A9E11E">
        <w:rPr>
          <w:rFonts w:ascii="Calibri" w:eastAsia="Calibri" w:hAnsi="Calibri" w:cs="Calibri"/>
          <w:i/>
          <w:iCs/>
        </w:rPr>
        <w:t>States With Religious and Philosophical Exemptions From School Immunization Requirements</w:t>
      </w:r>
      <w:r w:rsidR="67A9E11E" w:rsidRPr="67A9E11E">
        <w:rPr>
          <w:rFonts w:ascii="Calibri" w:eastAsia="Calibri" w:hAnsi="Calibri" w:cs="Calibri"/>
        </w:rPr>
        <w:t xml:space="preserve">. Reviewed June 2020. Accessed January 2021. Available at: </w:t>
      </w:r>
      <w:hyperlink r:id="rId19" w:history="1">
        <w:r w:rsidR="67A9E11E" w:rsidRPr="67A9E11E">
          <w:rPr>
            <w:rStyle w:val="Hyperlink"/>
            <w:rFonts w:ascii="Calibri" w:eastAsia="Calibri" w:hAnsi="Calibri" w:cs="Calibri"/>
          </w:rPr>
          <w:t>States With Religious and Philosophical Exemptions From School Immunization Requirements (ncsl.org)</w:t>
        </w:r>
      </w:hyperlink>
    </w:p>
  </w:endnote>
  <w:endnote w:id="26">
    <w:p w14:paraId="5BB605EA" w14:textId="77777777" w:rsidR="5FDCF3DE" w:rsidRDefault="5FDCF3DE" w:rsidP="67A9E11E">
      <w:pPr>
        <w:pStyle w:val="EndnoteText"/>
      </w:pPr>
      <w:r w:rsidRPr="67A9E11E">
        <w:rPr>
          <w:rStyle w:val="EndnoteReference"/>
          <w:rFonts w:ascii="Calibri" w:eastAsia="Calibri" w:hAnsi="Calibri" w:cs="Calibri"/>
        </w:rPr>
        <w:endnoteRef/>
      </w:r>
      <w:r w:rsidR="67A9E11E" w:rsidRPr="67A9E11E">
        <w:rPr>
          <w:rFonts w:ascii="Calibri" w:eastAsia="Calibri" w:hAnsi="Calibri" w:cs="Calibri"/>
        </w:rPr>
        <w:t xml:space="preserve"> CDC. </w:t>
      </w:r>
      <w:r w:rsidR="67A9E11E" w:rsidRPr="67A9E11E">
        <w:rPr>
          <w:rFonts w:ascii="Calibri" w:eastAsia="Calibri" w:hAnsi="Calibri" w:cs="Calibri"/>
          <w:i/>
          <w:iCs/>
        </w:rPr>
        <w:t>State Requirements</w:t>
      </w:r>
      <w:r w:rsidR="67A9E11E" w:rsidRPr="67A9E11E">
        <w:rPr>
          <w:rFonts w:ascii="Calibri" w:eastAsia="Calibri" w:hAnsi="Calibri" w:cs="Calibri"/>
        </w:rPr>
        <w:t xml:space="preserve">. Updated November 2016. Accessed January 2021. Available at: </w:t>
      </w:r>
      <w:hyperlink r:id="rId20">
        <w:r w:rsidR="67A9E11E" w:rsidRPr="67A9E11E">
          <w:rPr>
            <w:rStyle w:val="Hyperlink"/>
            <w:rFonts w:ascii="Calibri" w:eastAsia="Calibri" w:hAnsi="Calibri" w:cs="Calibri"/>
          </w:rPr>
          <w:t>State Vaccination Requirements | CDC</w:t>
        </w:r>
      </w:hyperlink>
    </w:p>
  </w:endnote>
  <w:endnote w:id="27">
    <w:p w14:paraId="53FA73D6" w14:textId="77777777" w:rsidR="00245E4C" w:rsidRPr="00AF5CCF" w:rsidRDefault="00245E4C" w:rsidP="67A9E11E">
      <w:pPr>
        <w:pStyle w:val="EndnoteText"/>
      </w:pPr>
      <w:r w:rsidRPr="67A9E11E">
        <w:rPr>
          <w:rStyle w:val="EndnoteReference"/>
          <w:rFonts w:ascii="Calibri" w:eastAsia="Calibri" w:hAnsi="Calibri" w:cs="Calibri"/>
        </w:rPr>
        <w:endnoteRef/>
      </w:r>
      <w:r w:rsidR="67A9E11E" w:rsidRPr="67A9E11E">
        <w:rPr>
          <w:rFonts w:ascii="Calibri" w:eastAsia="Calibri" w:hAnsi="Calibri" w:cs="Calibri"/>
        </w:rPr>
        <w:t xml:space="preserve"> Meissner C. </w:t>
      </w:r>
      <w:r w:rsidR="67A9E11E" w:rsidRPr="67A9E11E">
        <w:rPr>
          <w:rFonts w:ascii="Calibri" w:eastAsia="Calibri" w:hAnsi="Calibri" w:cs="Calibri"/>
          <w:i/>
          <w:iCs/>
        </w:rPr>
        <w:t>Why is herd immunity so important</w:t>
      </w:r>
      <w:r w:rsidR="67A9E11E" w:rsidRPr="67A9E11E">
        <w:rPr>
          <w:rFonts w:ascii="Calibri" w:eastAsia="Calibri" w:hAnsi="Calibri" w:cs="Calibri"/>
        </w:rPr>
        <w:t>? AAP News. 2015;36(5)14.</w:t>
      </w:r>
    </w:p>
  </w:endnote>
  <w:endnote w:id="28">
    <w:p w14:paraId="2277AFA4" w14:textId="5C3DB702" w:rsidR="5FDCF3DE" w:rsidRDefault="5FDCF3DE" w:rsidP="67A9E11E">
      <w:pPr>
        <w:pStyle w:val="EndnoteText"/>
      </w:pPr>
      <w:r w:rsidRPr="67A9E11E">
        <w:rPr>
          <w:rStyle w:val="EndnoteReference"/>
          <w:rFonts w:ascii="Calibri" w:eastAsia="Calibri" w:hAnsi="Calibri" w:cs="Calibri"/>
        </w:rPr>
        <w:endnoteRef/>
      </w:r>
      <w:r w:rsidR="67A9E11E" w:rsidRPr="67A9E11E">
        <w:rPr>
          <w:rFonts w:ascii="Calibri" w:eastAsia="Calibri" w:hAnsi="Calibri" w:cs="Calibri"/>
        </w:rPr>
        <w:t xml:space="preserve"> </w:t>
      </w:r>
      <w:r w:rsidR="67A9E11E" w:rsidRPr="67A9E11E">
        <w:rPr>
          <w:rFonts w:ascii="Calibri" w:eastAsia="Calibri" w:hAnsi="Calibri" w:cs="Calibri"/>
        </w:rPr>
        <w:t xml:space="preserve">NDDoH. </w:t>
      </w:r>
      <w:r w:rsidR="67A9E11E" w:rsidRPr="67A9E11E">
        <w:rPr>
          <w:rFonts w:ascii="Calibri" w:eastAsia="Calibri" w:hAnsi="Calibri" w:cs="Calibri"/>
          <w:i/>
          <w:iCs/>
        </w:rPr>
        <w:t xml:space="preserve">Child care Facility Immunization Requirements. </w:t>
      </w:r>
      <w:r w:rsidR="67A9E11E" w:rsidRPr="67A9E11E">
        <w:rPr>
          <w:rFonts w:ascii="Calibri" w:eastAsia="Calibri" w:hAnsi="Calibri" w:cs="Calibri"/>
        </w:rPr>
        <w:t xml:space="preserve">Updated January 2018. Accessed January 2021. Available at: </w:t>
      </w:r>
      <w:hyperlink r:id="rId21">
        <w:r w:rsidR="67A9E11E" w:rsidRPr="67A9E11E">
          <w:rPr>
            <w:rStyle w:val="Hyperlink"/>
            <w:rFonts w:ascii="Calibri" w:eastAsia="Calibri" w:hAnsi="Calibri" w:cs="Calibri"/>
          </w:rPr>
          <w:t>North Dakota Department of Health (ndhealth.gov)</w:t>
        </w:r>
      </w:hyperlink>
    </w:p>
  </w:endnote>
  <w:endnote w:id="29">
    <w:p w14:paraId="321C5763" w14:textId="495DEBD6" w:rsidR="5FDCF3DE" w:rsidRDefault="5FDCF3DE" w:rsidP="67A9E11E">
      <w:pPr>
        <w:pStyle w:val="EndnoteText"/>
      </w:pPr>
      <w:r w:rsidRPr="67A9E11E">
        <w:rPr>
          <w:rStyle w:val="EndnoteReference"/>
          <w:rFonts w:ascii="Calibri" w:eastAsia="Calibri" w:hAnsi="Calibri" w:cs="Calibri"/>
        </w:rPr>
        <w:endnoteRef/>
      </w:r>
      <w:r w:rsidR="67A9E11E" w:rsidRPr="67A9E11E">
        <w:rPr>
          <w:rFonts w:ascii="Calibri" w:eastAsia="Calibri" w:hAnsi="Calibri" w:cs="Calibri"/>
        </w:rPr>
        <w:t xml:space="preserve"> </w:t>
      </w:r>
      <w:r w:rsidR="67A9E11E" w:rsidRPr="67A9E11E">
        <w:rPr>
          <w:rFonts w:ascii="Calibri" w:eastAsia="Calibri" w:hAnsi="Calibri" w:cs="Calibri"/>
        </w:rPr>
        <w:t xml:space="preserve">NDDoH. </w:t>
      </w:r>
      <w:r w:rsidR="67A9E11E" w:rsidRPr="67A9E11E">
        <w:rPr>
          <w:rFonts w:ascii="Calibri" w:eastAsia="Calibri" w:hAnsi="Calibri" w:cs="Calibri"/>
          <w:i/>
          <w:iCs/>
        </w:rPr>
        <w:t xml:space="preserve">Child care Facility Immunization Requirements. </w:t>
      </w:r>
      <w:r w:rsidR="67A9E11E" w:rsidRPr="67A9E11E">
        <w:rPr>
          <w:rFonts w:ascii="Calibri" w:eastAsia="Calibri" w:hAnsi="Calibri" w:cs="Calibri"/>
        </w:rPr>
        <w:t xml:space="preserve">Updated January 2018. Accessed January 2021. Available at: </w:t>
      </w:r>
      <w:hyperlink r:id="rId22">
        <w:r w:rsidR="67A9E11E" w:rsidRPr="67A9E11E">
          <w:rPr>
            <w:rStyle w:val="Hyperlink"/>
            <w:rFonts w:ascii="Calibri" w:eastAsia="Calibri" w:hAnsi="Calibri" w:cs="Calibri"/>
          </w:rPr>
          <w:t>North Dakota Department of Health (ndhealth.gov)</w:t>
        </w:r>
      </w:hyperlink>
    </w:p>
  </w:endnote>
  <w:endnote w:id="30">
    <w:p w14:paraId="1DE015B0" w14:textId="77777777" w:rsidR="5FDCF3DE" w:rsidRDefault="5FDCF3DE" w:rsidP="67A9E11E">
      <w:pPr>
        <w:pStyle w:val="EndnoteText"/>
      </w:pPr>
      <w:r w:rsidRPr="67A9E11E">
        <w:rPr>
          <w:rStyle w:val="EndnoteReference"/>
          <w:rFonts w:ascii="Calibri" w:eastAsia="Calibri" w:hAnsi="Calibri" w:cs="Calibri"/>
        </w:rPr>
        <w:endnoteRef/>
      </w:r>
      <w:r w:rsidR="67A9E11E" w:rsidRPr="67A9E11E">
        <w:rPr>
          <w:rFonts w:ascii="Calibri" w:eastAsia="Calibri" w:hAnsi="Calibri" w:cs="Calibri"/>
        </w:rPr>
        <w:t xml:space="preserve"> CDC. </w:t>
      </w:r>
      <w:r w:rsidR="67A9E11E" w:rsidRPr="67A9E11E">
        <w:rPr>
          <w:rFonts w:ascii="Calibri" w:eastAsia="Calibri" w:hAnsi="Calibri" w:cs="Calibri"/>
          <w:i/>
          <w:iCs/>
        </w:rPr>
        <w:t>Results for School Vaccination Coverage</w:t>
      </w:r>
      <w:r w:rsidR="67A9E11E" w:rsidRPr="67A9E11E">
        <w:rPr>
          <w:rFonts w:ascii="Calibri" w:eastAsia="Calibri" w:hAnsi="Calibri" w:cs="Calibri"/>
        </w:rPr>
        <w:t xml:space="preserve">. Reviewed January 2021. Accessed January 2021. Available at: </w:t>
      </w:r>
      <w:hyperlink r:id="rId23">
        <w:r w:rsidR="67A9E11E" w:rsidRPr="67A9E11E">
          <w:rPr>
            <w:rStyle w:val="Hyperlink"/>
            <w:rFonts w:ascii="Calibri" w:eastAsia="Calibri" w:hAnsi="Calibri" w:cs="Calibri"/>
          </w:rPr>
          <w:t>SchoolVaxView School Vaccination Coverage | CDC</w:t>
        </w:r>
      </w:hyperlink>
    </w:p>
  </w:endnote>
  <w:endnote w:id="31">
    <w:p w14:paraId="5A032247" w14:textId="620EDE1F" w:rsidR="5FDCF3DE" w:rsidRDefault="5FDCF3DE" w:rsidP="67A9E11E">
      <w:pPr>
        <w:pStyle w:val="EndnoteText"/>
      </w:pPr>
      <w:r w:rsidRPr="67A9E11E">
        <w:rPr>
          <w:rStyle w:val="EndnoteReference"/>
          <w:rFonts w:ascii="Calibri" w:eastAsia="Calibri" w:hAnsi="Calibri" w:cs="Calibri"/>
        </w:rPr>
        <w:endnoteRef/>
      </w:r>
      <w:r w:rsidR="67A9E11E" w:rsidRPr="67A9E11E">
        <w:rPr>
          <w:rFonts w:ascii="Calibri" w:eastAsia="Calibri" w:hAnsi="Calibri" w:cs="Calibri"/>
        </w:rPr>
        <w:t xml:space="preserve"> CDC. </w:t>
      </w:r>
      <w:r w:rsidR="67A9E11E" w:rsidRPr="67A9E11E">
        <w:rPr>
          <w:rFonts w:ascii="Calibri" w:eastAsia="Calibri" w:hAnsi="Calibri" w:cs="Calibri"/>
          <w:i/>
          <w:iCs/>
        </w:rPr>
        <w:t>2009-10 through 2019-20 School Year Vaccination Exemption Trend Report.</w:t>
      </w:r>
      <w:r w:rsidR="67A9E11E" w:rsidRPr="67A9E11E">
        <w:rPr>
          <w:rFonts w:ascii="Calibri" w:eastAsia="Calibri" w:hAnsi="Calibri" w:cs="Calibri"/>
        </w:rPr>
        <w:t xml:space="preserve"> Reviewed January 2021. Accessed January 2021. Available at: </w:t>
      </w:r>
      <w:hyperlink r:id="rId24">
        <w:r w:rsidR="67A9E11E" w:rsidRPr="67A9E11E">
          <w:rPr>
            <w:rStyle w:val="Hyperlink"/>
            <w:rFonts w:ascii="Calibri" w:eastAsia="Calibri" w:hAnsi="Calibri" w:cs="Calibri"/>
          </w:rPr>
          <w:t>https://www.cdc.gov/vaccines/imz-managers/coverage/schoolvaxview/data-reports/exemptions-trend/index.html</w:t>
        </w:r>
      </w:hyperlink>
      <w:r w:rsidR="67A9E11E" w:rsidRPr="67A9E11E">
        <w:rPr>
          <w:rFonts w:ascii="Calibri" w:eastAsia="Calibri" w:hAnsi="Calibri" w:cs="Calibri"/>
        </w:rPr>
        <w:t xml:space="preserve"> </w:t>
      </w:r>
    </w:p>
  </w:endnote>
  <w:endnote w:id="32">
    <w:p w14:paraId="1F2FDD36" w14:textId="623A2343" w:rsidR="5FDCF3DE" w:rsidRDefault="5FDCF3DE" w:rsidP="67A9E11E">
      <w:pPr>
        <w:pStyle w:val="EndnoteText"/>
      </w:pPr>
      <w:r w:rsidRPr="67A9E11E">
        <w:rPr>
          <w:rStyle w:val="EndnoteReference"/>
          <w:rFonts w:ascii="Calibri" w:eastAsia="Calibri" w:hAnsi="Calibri" w:cs="Calibri"/>
        </w:rPr>
        <w:endnoteRef/>
      </w:r>
      <w:r w:rsidR="67A9E11E" w:rsidRPr="67A9E11E">
        <w:rPr>
          <w:rFonts w:ascii="Calibri" w:eastAsia="Calibri" w:hAnsi="Calibri" w:cs="Calibri"/>
        </w:rPr>
        <w:t xml:space="preserve"> NCSL. </w:t>
      </w:r>
      <w:r w:rsidR="67A9E11E" w:rsidRPr="67A9E11E">
        <w:rPr>
          <w:rFonts w:ascii="Calibri" w:eastAsia="Calibri" w:hAnsi="Calibri" w:cs="Calibri"/>
          <w:i/>
          <w:iCs/>
        </w:rPr>
        <w:t>States With Religious and Philosophical Exemptions From School Immunization Requirements.</w:t>
      </w:r>
      <w:r w:rsidR="67A9E11E" w:rsidRPr="67A9E11E">
        <w:rPr>
          <w:rFonts w:ascii="Calibri" w:eastAsia="Calibri" w:hAnsi="Calibri" w:cs="Calibri"/>
        </w:rPr>
        <w:t xml:space="preserve"> Accessed January 2021. Available at: </w:t>
      </w:r>
      <w:hyperlink r:id="rId25">
        <w:r w:rsidR="67A9E11E" w:rsidRPr="67A9E11E">
          <w:rPr>
            <w:rStyle w:val="Hyperlink"/>
            <w:rFonts w:ascii="Calibri" w:eastAsia="Calibri" w:hAnsi="Calibri" w:cs="Calibri"/>
          </w:rPr>
          <w:t>https://www.ncsl.org/research/health/school-immunization-exemption-state-laws.aspx</w:t>
        </w:r>
      </w:hyperlink>
    </w:p>
  </w:endnote>
  <w:endnote w:id="33">
    <w:p w14:paraId="5AEDC864" w14:textId="5CC89B32" w:rsidR="5FDCF3DE" w:rsidRDefault="5FDCF3DE" w:rsidP="67A9E11E">
      <w:pPr>
        <w:pStyle w:val="EndnoteText"/>
      </w:pPr>
      <w:r w:rsidRPr="67A9E11E">
        <w:rPr>
          <w:rStyle w:val="EndnoteReference"/>
          <w:rFonts w:ascii="Calibri" w:eastAsia="Calibri" w:hAnsi="Calibri" w:cs="Calibri"/>
        </w:rPr>
        <w:endnoteRef/>
      </w:r>
      <w:r w:rsidR="67A9E11E" w:rsidRPr="67A9E11E">
        <w:rPr>
          <w:rFonts w:ascii="Calibri" w:eastAsia="Calibri" w:hAnsi="Calibri" w:cs="Calibri"/>
        </w:rPr>
        <w:t xml:space="preserve"> </w:t>
      </w:r>
      <w:r w:rsidR="67A9E11E" w:rsidRPr="67A9E11E">
        <w:rPr>
          <w:rFonts w:ascii="Calibri" w:eastAsia="Calibri" w:hAnsi="Calibri" w:cs="Calibri"/>
          <w:color w:val="303030"/>
        </w:rPr>
        <w:t xml:space="preserve">Phadke VK, Bednarczyk RA, Salmon DA, Omer SB. Association Between Vaccine Refusal and Vaccine-Preventable Diseases in the United States: A Review of Measles and Pertussis [published correction appears in JAMA. 2016 May 17;315(19):2125] [published correction appears in JAMA. 2016 May 17;315 (19):2125]. </w:t>
      </w:r>
      <w:r w:rsidR="67A9E11E" w:rsidRPr="67A9E11E">
        <w:rPr>
          <w:rFonts w:ascii="Calibri" w:eastAsia="Calibri" w:hAnsi="Calibri" w:cs="Calibri"/>
          <w:i/>
          <w:iCs/>
          <w:color w:val="303030"/>
        </w:rPr>
        <w:t>JAMA</w:t>
      </w:r>
      <w:r w:rsidR="67A9E11E" w:rsidRPr="67A9E11E">
        <w:rPr>
          <w:rFonts w:ascii="Calibri" w:eastAsia="Calibri" w:hAnsi="Calibri" w:cs="Calibri"/>
          <w:color w:val="303030"/>
        </w:rPr>
        <w:t>. 2016;315(11):1149-1158. doi:10.1001/jama.2016.1353</w:t>
      </w:r>
    </w:p>
  </w:endnote>
  <w:endnote w:id="34">
    <w:p w14:paraId="6BEC9560" w14:textId="77777777" w:rsidR="00CD4F5F" w:rsidRDefault="00CD4F5F" w:rsidP="67A9E11E">
      <w:pPr>
        <w:pStyle w:val="EndnoteText"/>
      </w:pPr>
      <w:r w:rsidRPr="67A9E11E">
        <w:rPr>
          <w:rStyle w:val="EndnoteReference"/>
          <w:rFonts w:ascii="Calibri" w:eastAsia="Calibri" w:hAnsi="Calibri" w:cs="Calibri"/>
        </w:rPr>
        <w:endnoteRef/>
      </w:r>
      <w:r w:rsidR="67A9E11E" w:rsidRPr="67A9E11E">
        <w:rPr>
          <w:rFonts w:ascii="Calibri" w:eastAsia="Calibri" w:hAnsi="Calibri" w:cs="Calibri"/>
        </w:rPr>
        <w:t xml:space="preserve"> North Dakota Century Code, Title 23 Health and Safety, Chapter 23-01 State Department of Health. Available at: </w:t>
      </w:r>
      <w:hyperlink r:id="rId26" w:history="1">
        <w:r w:rsidR="67A9E11E" w:rsidRPr="67A9E11E">
          <w:rPr>
            <w:rStyle w:val="Hyperlink"/>
            <w:rFonts w:ascii="Calibri" w:eastAsia="Calibri" w:hAnsi="Calibri" w:cs="Calibri"/>
          </w:rPr>
          <w:t>North Dakota Century Code t23c01 (nd.gov)</w:t>
        </w:r>
      </w:hyperlink>
    </w:p>
  </w:endnote>
  <w:endnote w:id="35">
    <w:p w14:paraId="79A32A87" w14:textId="7A3C65AE" w:rsidR="720DBCFD" w:rsidRDefault="720DBCFD" w:rsidP="67A9E11E">
      <w:pPr>
        <w:pStyle w:val="EndnoteText"/>
      </w:pPr>
      <w:r w:rsidRPr="67A9E11E">
        <w:rPr>
          <w:rStyle w:val="EndnoteReference"/>
          <w:rFonts w:ascii="Calibri" w:eastAsia="Calibri" w:hAnsi="Calibri" w:cs="Calibri"/>
        </w:rPr>
        <w:endnoteRef/>
      </w:r>
      <w:r w:rsidR="67A9E11E" w:rsidRPr="67A9E11E">
        <w:rPr>
          <w:rFonts w:ascii="Calibri" w:eastAsia="Calibri" w:hAnsi="Calibri" w:cs="Calibri"/>
        </w:rPr>
        <w:t xml:space="preserve"> IAC. </w:t>
      </w:r>
      <w:r w:rsidR="67A9E11E" w:rsidRPr="67A9E11E">
        <w:rPr>
          <w:rFonts w:ascii="Calibri" w:eastAsia="Calibri" w:hAnsi="Calibri" w:cs="Calibri"/>
          <w:i/>
          <w:iCs/>
        </w:rPr>
        <w:t>You Must Provide Patients with Vaccine Information Statements (VISs) - It’s Federal Law!</w:t>
      </w:r>
      <w:r w:rsidR="67A9E11E" w:rsidRPr="67A9E11E">
        <w:rPr>
          <w:rFonts w:ascii="Calibri" w:eastAsia="Calibri" w:hAnsi="Calibri" w:cs="Calibri"/>
        </w:rPr>
        <w:t xml:space="preserve"> Reviewed July 2020. Accessed January 2021. Available at: </w:t>
      </w:r>
      <w:hyperlink r:id="rId27">
        <w:r w:rsidR="67A9E11E" w:rsidRPr="67A9E11E">
          <w:rPr>
            <w:rStyle w:val="Hyperlink"/>
            <w:rFonts w:ascii="Calibri" w:eastAsia="Calibri" w:hAnsi="Calibri" w:cs="Calibri"/>
          </w:rPr>
          <w:t>You Must Provide Patients with Vaccine Information Statements (VISs) - It's Federal Law! (immunize.org)</w:t>
        </w:r>
      </w:hyperlink>
    </w:p>
  </w:endnote>
  <w:endnote w:id="36">
    <w:p w14:paraId="0E902BCB" w14:textId="450AE2C4" w:rsidR="720DBCFD" w:rsidRDefault="720DBCFD" w:rsidP="67A9E11E">
      <w:pPr>
        <w:pStyle w:val="EndnoteText"/>
      </w:pPr>
      <w:r w:rsidRPr="67A9E11E">
        <w:rPr>
          <w:rStyle w:val="EndnoteReference"/>
          <w:rFonts w:ascii="Calibri" w:eastAsia="Calibri" w:hAnsi="Calibri" w:cs="Calibri"/>
        </w:rPr>
        <w:endnoteRef/>
      </w:r>
      <w:r w:rsidR="67A9E11E" w:rsidRPr="67A9E11E">
        <w:rPr>
          <w:rFonts w:ascii="Calibri" w:eastAsia="Calibri" w:hAnsi="Calibri" w:cs="Calibri"/>
        </w:rPr>
        <w:t xml:space="preserve"> IAC. </w:t>
      </w:r>
      <w:r w:rsidR="67A9E11E" w:rsidRPr="67A9E11E">
        <w:rPr>
          <w:rFonts w:ascii="Calibri" w:eastAsia="Calibri" w:hAnsi="Calibri" w:cs="Calibri"/>
          <w:i/>
          <w:iCs/>
        </w:rPr>
        <w:t>Vaccine Information Statements</w:t>
      </w:r>
      <w:r w:rsidR="67A9E11E" w:rsidRPr="67A9E11E">
        <w:rPr>
          <w:rFonts w:ascii="Calibri" w:eastAsia="Calibri" w:hAnsi="Calibri" w:cs="Calibri"/>
        </w:rPr>
        <w:t xml:space="preserve">. Updated November 2020. Accessed January 2021. Available at: </w:t>
      </w:r>
      <w:hyperlink r:id="rId28">
        <w:r w:rsidR="67A9E11E" w:rsidRPr="67A9E11E">
          <w:rPr>
            <w:rStyle w:val="Hyperlink"/>
            <w:rFonts w:ascii="Calibri" w:eastAsia="Calibri" w:hAnsi="Calibri" w:cs="Calibri"/>
          </w:rPr>
          <w:t>Vaccine Information Statements - VISs - CDC information sheets for patients (immunize.org)</w:t>
        </w:r>
      </w:hyperlink>
    </w:p>
  </w:endnote>
  <w:endnote w:id="37">
    <w:p w14:paraId="50334C1F" w14:textId="45876547" w:rsidR="720DBCFD" w:rsidRDefault="720DBCFD" w:rsidP="67A9E11E">
      <w:pPr>
        <w:pStyle w:val="EndnoteText"/>
        <w:rPr>
          <w:i/>
          <w:iCs/>
        </w:rPr>
      </w:pPr>
      <w:r w:rsidRPr="67A9E11E">
        <w:rPr>
          <w:rStyle w:val="EndnoteReference"/>
          <w:rFonts w:ascii="Calibri" w:eastAsia="Calibri" w:hAnsi="Calibri" w:cs="Calibri"/>
        </w:rPr>
        <w:endnoteRef/>
      </w:r>
      <w:r w:rsidR="67A9E11E" w:rsidRPr="67A9E11E">
        <w:rPr>
          <w:rFonts w:ascii="Calibri" w:eastAsia="Calibri" w:hAnsi="Calibri" w:cs="Calibri"/>
        </w:rPr>
        <w:t xml:space="preserve"> Nathan JP, </w:t>
      </w:r>
      <w:r w:rsidR="67A9E11E" w:rsidRPr="67A9E11E">
        <w:rPr>
          <w:rFonts w:ascii="Calibri" w:eastAsia="Calibri" w:hAnsi="Calibri" w:cs="Calibri"/>
        </w:rPr>
        <w:t xml:space="preserve">Vider E. </w:t>
      </w:r>
      <w:r w:rsidR="67A9E11E" w:rsidRPr="67A9E11E">
        <w:rPr>
          <w:rFonts w:ascii="Calibri" w:eastAsia="Calibri" w:hAnsi="Calibri" w:cs="Calibri"/>
          <w:i/>
          <w:iCs/>
        </w:rPr>
        <w:t>The Package Insert</w:t>
      </w:r>
      <w:r w:rsidR="67A9E11E" w:rsidRPr="67A9E11E">
        <w:rPr>
          <w:rFonts w:ascii="Calibri" w:eastAsia="Calibri" w:hAnsi="Calibri" w:cs="Calibri"/>
        </w:rPr>
        <w:t xml:space="preserve">. Published May 2015. Accessed January 2021. Available at: </w:t>
      </w:r>
      <w:hyperlink r:id="rId29">
        <w:r w:rsidR="67A9E11E" w:rsidRPr="67A9E11E">
          <w:rPr>
            <w:rStyle w:val="Hyperlink"/>
            <w:rFonts w:ascii="Calibri" w:eastAsia="Calibri" w:hAnsi="Calibri" w:cs="Calibri"/>
          </w:rPr>
          <w:t>The Package Insert (uspharmacist.com)</w:t>
        </w:r>
      </w:hyperlink>
    </w:p>
  </w:endnote>
  <w:endnote w:id="38">
    <w:p w14:paraId="02CC0A6F" w14:textId="65A7A48B" w:rsidR="29F87363" w:rsidRDefault="29F87363" w:rsidP="29F87363">
      <w:pPr>
        <w:pStyle w:val="EndnoteText"/>
        <w:rPr>
          <w:i/>
          <w:iCs/>
        </w:rPr>
      </w:pPr>
      <w:r w:rsidRPr="29F87363">
        <w:rPr>
          <w:rStyle w:val="EndnoteReference"/>
        </w:rPr>
        <w:endnoteRef/>
      </w:r>
      <w:r>
        <w:t xml:space="preserve"> CDC. </w:t>
      </w:r>
      <w:r w:rsidRPr="29F87363">
        <w:rPr>
          <w:i/>
          <w:iCs/>
        </w:rPr>
        <w:t xml:space="preserve">The Vaccine Injury Compensation Program (VICP). </w:t>
      </w:r>
      <w:r w:rsidRPr="29F87363">
        <w:t xml:space="preserve">Revised March 2017. Accessed January 2021.  Available at: </w:t>
      </w:r>
      <w:hyperlink r:id="rId30">
        <w:r w:rsidRPr="29F87363">
          <w:rPr>
            <w:rStyle w:val="Hyperlink"/>
          </w:rPr>
          <w:t>Appendix D Vaccine Safety - Pink Book 2015 - Vaccine Injury Compensation Program (VICP) (cdc.gov)</w:t>
        </w:r>
      </w:hyperlink>
    </w:p>
  </w:endnote>
  <w:endnote w:id="39">
    <w:p w14:paraId="121D8304" w14:textId="496990DF" w:rsidR="29F87363" w:rsidRDefault="29F87363" w:rsidP="29F87363">
      <w:pPr>
        <w:pStyle w:val="EndnoteText"/>
      </w:pPr>
      <w:r w:rsidRPr="29F87363">
        <w:rPr>
          <w:rStyle w:val="EndnoteReference"/>
        </w:rPr>
        <w:endnoteRef/>
      </w:r>
      <w:r>
        <w:t xml:space="preserve"> HRSA. </w:t>
      </w:r>
      <w:r w:rsidRPr="29F87363">
        <w:rPr>
          <w:i/>
          <w:iCs/>
        </w:rPr>
        <w:t>National Vaccine Injury Compensation Program</w:t>
      </w:r>
      <w:r w:rsidRPr="29F87363">
        <w:t xml:space="preserve">. Reviewed January 2021. Accessed January 2021.  Available at: </w:t>
      </w:r>
      <w:hyperlink r:id="rId31">
        <w:r w:rsidRPr="29F87363">
          <w:rPr>
            <w:rStyle w:val="Hyperlink"/>
          </w:rPr>
          <w:t>National Vaccine Injury Compensation Program | Official web site of the U.S. Health Resources &amp; Services Administration (hrsa.gov)</w:t>
        </w:r>
      </w:hyperlink>
    </w:p>
  </w:endnote>
  <w:endnote w:id="40">
    <w:p w14:paraId="7E965A66" w14:textId="7303E671" w:rsidR="29F87363" w:rsidRDefault="29F87363" w:rsidP="29F87363">
      <w:pPr>
        <w:pStyle w:val="EndnoteText"/>
      </w:pPr>
      <w:r w:rsidRPr="29F87363">
        <w:rPr>
          <w:rStyle w:val="EndnoteReference"/>
        </w:rPr>
        <w:endnoteRef/>
      </w:r>
      <w:r>
        <w:t xml:space="preserve"> Hamblin J. Why the Government Pays Billions to People Who Claim Injury by Vaccines. </w:t>
      </w:r>
      <w:r w:rsidRPr="29F87363">
        <w:rPr>
          <w:i/>
          <w:iCs/>
        </w:rPr>
        <w:t>The Atlantic</w:t>
      </w:r>
      <w:r w:rsidRPr="29F87363">
        <w:t xml:space="preserve">. Published May 2018. Accessed January 2021. Available at: </w:t>
      </w:r>
      <w:hyperlink r:id="rId32">
        <w:r w:rsidRPr="29F87363">
          <w:rPr>
            <w:rStyle w:val="Hyperlink"/>
          </w:rPr>
          <w:t>How the Vaccine Injury Compensation Program Works - The Atlantic</w:t>
        </w:r>
      </w:hyperlink>
    </w:p>
  </w:endnote>
  <w:endnote w:id="41">
    <w:p w14:paraId="644EFA25" w14:textId="3C0633F4" w:rsidR="720DBCFD" w:rsidRDefault="720DBCFD" w:rsidP="67A9E11E">
      <w:pPr>
        <w:pStyle w:val="EndnoteText"/>
      </w:pPr>
      <w:r w:rsidRPr="67A9E11E">
        <w:rPr>
          <w:rStyle w:val="EndnoteReference"/>
          <w:rFonts w:ascii="Calibri" w:eastAsia="Calibri" w:hAnsi="Calibri" w:cs="Calibri"/>
        </w:rPr>
        <w:endnoteRef/>
      </w:r>
      <w:r w:rsidR="67A9E11E" w:rsidRPr="67A9E11E">
        <w:rPr>
          <w:rFonts w:ascii="Calibri" w:eastAsia="Calibri" w:hAnsi="Calibri" w:cs="Calibri"/>
        </w:rPr>
        <w:t xml:space="preserve"> healthychildren.org. </w:t>
      </w:r>
      <w:r w:rsidR="67A9E11E" w:rsidRPr="67A9E11E">
        <w:rPr>
          <w:rFonts w:ascii="Calibri" w:eastAsia="Calibri" w:hAnsi="Calibri" w:cs="Calibri"/>
          <w:i/>
          <w:iCs/>
        </w:rPr>
        <w:t>Vaccine Safety: Examine the Evidence.</w:t>
      </w:r>
      <w:r w:rsidR="67A9E11E" w:rsidRPr="67A9E11E">
        <w:rPr>
          <w:rFonts w:ascii="Calibri" w:eastAsia="Calibri" w:hAnsi="Calibri" w:cs="Calibri"/>
        </w:rPr>
        <w:t xml:space="preserve"> Updated July 2018. Accessed January 2021. Available at: </w:t>
      </w:r>
      <w:hyperlink r:id="rId33">
        <w:r w:rsidR="67A9E11E" w:rsidRPr="67A9E11E">
          <w:rPr>
            <w:rStyle w:val="Hyperlink"/>
            <w:rFonts w:ascii="Calibri" w:eastAsia="Calibri" w:hAnsi="Calibri" w:cs="Calibri"/>
          </w:rPr>
          <w:t>Vaccine Safety: Examine the Evidence - HealthyChildren.org</w:t>
        </w:r>
      </w:hyperlink>
    </w:p>
  </w:endnote>
  <w:endnote w:id="42">
    <w:p w14:paraId="05952960" w14:textId="634AC117" w:rsidR="720DBCFD" w:rsidRDefault="720DBCFD" w:rsidP="67A9E11E">
      <w:pPr>
        <w:pStyle w:val="EndnoteText"/>
      </w:pPr>
      <w:r w:rsidRPr="67A9E11E">
        <w:rPr>
          <w:rStyle w:val="EndnoteReference"/>
          <w:rFonts w:ascii="Calibri" w:eastAsia="Calibri" w:hAnsi="Calibri" w:cs="Calibri"/>
        </w:rPr>
        <w:endnoteRef/>
      </w:r>
      <w:r w:rsidR="67A9E11E" w:rsidRPr="67A9E11E">
        <w:rPr>
          <w:rFonts w:ascii="Calibri" w:eastAsia="Calibri" w:hAnsi="Calibri" w:cs="Calibri"/>
        </w:rPr>
        <w:t xml:space="preserve"> </w:t>
      </w:r>
      <w:r w:rsidR="67A9E11E" w:rsidRPr="67A9E11E">
        <w:rPr>
          <w:rFonts w:ascii="Calibri" w:eastAsia="Calibri" w:hAnsi="Calibri" w:cs="Calibri"/>
          <w:color w:val="000000" w:themeColor="text1"/>
        </w:rPr>
        <w:t xml:space="preserve">Di </w:t>
      </w:r>
      <w:r w:rsidR="67A9E11E" w:rsidRPr="67A9E11E">
        <w:rPr>
          <w:rFonts w:ascii="Calibri" w:eastAsia="Calibri" w:hAnsi="Calibri" w:cs="Calibri"/>
          <w:color w:val="000000" w:themeColor="text1"/>
        </w:rPr>
        <w:t>Pietrantonj  C, Rivetti  A, Marchione  P, Debalini  MG, Demicheli  V. Vaccines for measles, mumps, rubella, and varicella in children. Cochrane Database of Systematic Reviews 2020, Issue 4. Art. No.: CD004407. DOI: 10.1002/14651858.CD004407.pub4. Accessed 27 January 2021.</w:t>
      </w:r>
    </w:p>
  </w:endnote>
  <w:endnote w:id="43">
    <w:p w14:paraId="6647D199" w14:textId="6E2A1519" w:rsidR="720DBCFD" w:rsidRDefault="720DBCFD" w:rsidP="67A9E11E">
      <w:pPr>
        <w:pStyle w:val="EndnoteText"/>
      </w:pPr>
      <w:r w:rsidRPr="67A9E11E">
        <w:rPr>
          <w:rStyle w:val="EndnoteReference"/>
          <w:rFonts w:ascii="Calibri" w:eastAsia="Calibri" w:hAnsi="Calibri" w:cs="Calibri"/>
        </w:rPr>
        <w:endnoteRef/>
      </w:r>
      <w:r w:rsidR="67A9E11E" w:rsidRPr="67A9E11E">
        <w:rPr>
          <w:rFonts w:ascii="Calibri" w:eastAsia="Calibri" w:hAnsi="Calibri" w:cs="Calibri"/>
        </w:rPr>
        <w:t xml:space="preserve"> Autism Speaks. </w:t>
      </w:r>
      <w:r w:rsidR="67A9E11E" w:rsidRPr="67A9E11E">
        <w:rPr>
          <w:rFonts w:ascii="Calibri" w:eastAsia="Calibri" w:hAnsi="Calibri" w:cs="Calibri"/>
          <w:i/>
          <w:iCs/>
        </w:rPr>
        <w:t>What Causes Autism?</w:t>
      </w:r>
      <w:r w:rsidR="67A9E11E" w:rsidRPr="67A9E11E">
        <w:rPr>
          <w:rFonts w:ascii="Calibri" w:eastAsia="Calibri" w:hAnsi="Calibri" w:cs="Calibri"/>
        </w:rPr>
        <w:t xml:space="preserve"> Accessed January 2021. Available at: </w:t>
      </w:r>
      <w:hyperlink r:id="rId34">
        <w:r w:rsidR="67A9E11E" w:rsidRPr="67A9E11E">
          <w:rPr>
            <w:rStyle w:val="Hyperlink"/>
            <w:rFonts w:ascii="Calibri" w:eastAsia="Calibri" w:hAnsi="Calibri" w:cs="Calibri"/>
          </w:rPr>
          <w:t>What Causes Autism? | Autism Speaks</w:t>
        </w:r>
      </w:hyperlink>
    </w:p>
  </w:endnote>
  <w:endnote w:id="44">
    <w:p w14:paraId="0834B06F" w14:textId="0563D113" w:rsidR="720DBCFD" w:rsidRDefault="720DBCFD" w:rsidP="67A9E11E">
      <w:pPr>
        <w:pStyle w:val="EndnoteText"/>
      </w:pPr>
      <w:r w:rsidRPr="67A9E11E">
        <w:rPr>
          <w:rStyle w:val="EndnoteReference"/>
          <w:rFonts w:ascii="Calibri" w:eastAsia="Calibri" w:hAnsi="Calibri" w:cs="Calibri"/>
        </w:rPr>
        <w:endnoteRef/>
      </w:r>
      <w:r w:rsidR="67A9E11E" w:rsidRPr="67A9E11E">
        <w:rPr>
          <w:rFonts w:ascii="Calibri" w:eastAsia="Calibri" w:hAnsi="Calibri" w:cs="Calibri"/>
        </w:rPr>
        <w:t xml:space="preserve"> CDC. </w:t>
      </w:r>
      <w:r w:rsidR="67A9E11E" w:rsidRPr="67A9E11E">
        <w:rPr>
          <w:rFonts w:ascii="Calibri" w:eastAsia="Calibri" w:hAnsi="Calibri" w:cs="Calibri"/>
          <w:i/>
          <w:iCs/>
        </w:rPr>
        <w:t>Sudden Infant Death Syndrome (SIDS) and Vaccines.</w:t>
      </w:r>
      <w:r w:rsidR="67A9E11E" w:rsidRPr="67A9E11E">
        <w:rPr>
          <w:rFonts w:ascii="Calibri" w:eastAsia="Calibri" w:hAnsi="Calibri" w:cs="Calibri"/>
        </w:rPr>
        <w:t xml:space="preserve"> Reviewed August 2020. Accessed January 2021. Available at: </w:t>
      </w:r>
      <w:hyperlink r:id="rId35">
        <w:r w:rsidR="67A9E11E" w:rsidRPr="67A9E11E">
          <w:rPr>
            <w:rStyle w:val="Hyperlink"/>
            <w:rFonts w:ascii="Calibri" w:eastAsia="Calibri" w:hAnsi="Calibri" w:cs="Calibri"/>
          </w:rPr>
          <w:t>SIDS and Vaccines | Vaccine Safety | CDC</w:t>
        </w:r>
      </w:hyperlink>
    </w:p>
  </w:endnote>
  <w:endnote w:id="45">
    <w:p w14:paraId="769B12D0" w14:textId="1CA8F7E0" w:rsidR="720DBCFD" w:rsidRDefault="720DBCFD" w:rsidP="67A9E11E">
      <w:pPr>
        <w:pStyle w:val="EndnoteText"/>
      </w:pPr>
      <w:r w:rsidRPr="67A9E11E">
        <w:rPr>
          <w:rStyle w:val="EndnoteReference"/>
          <w:rFonts w:ascii="Calibri" w:eastAsia="Calibri" w:hAnsi="Calibri" w:cs="Calibri"/>
        </w:rPr>
        <w:endnoteRef/>
      </w:r>
      <w:r w:rsidR="67A9E11E" w:rsidRPr="67A9E11E">
        <w:rPr>
          <w:rFonts w:ascii="Calibri" w:eastAsia="Calibri" w:hAnsi="Calibri" w:cs="Calibri"/>
        </w:rPr>
        <w:t xml:space="preserve"> </w:t>
      </w:r>
      <w:r w:rsidR="67A9E11E" w:rsidRPr="67A9E11E">
        <w:rPr>
          <w:rFonts w:ascii="Calibri" w:eastAsia="Calibri" w:hAnsi="Calibri" w:cs="Calibri"/>
        </w:rPr>
        <w:t xml:space="preserve">Corell R. </w:t>
      </w:r>
      <w:r w:rsidR="67A9E11E" w:rsidRPr="67A9E11E">
        <w:rPr>
          <w:rFonts w:ascii="Calibri" w:eastAsia="Calibri" w:hAnsi="Calibri" w:cs="Calibri"/>
          <w:i/>
          <w:iCs/>
        </w:rPr>
        <w:t>They Safety and Science of Vaccine Ingredients</w:t>
      </w:r>
      <w:r w:rsidR="67A9E11E" w:rsidRPr="67A9E11E">
        <w:rPr>
          <w:rFonts w:ascii="Calibri" w:eastAsia="Calibri" w:hAnsi="Calibri" w:cs="Calibri"/>
        </w:rPr>
        <w:t xml:space="preserve">. Reviewed May 2020. Accessed January 2021.  Available at: </w:t>
      </w:r>
      <w:hyperlink r:id="rId36">
        <w:r w:rsidR="67A9E11E" w:rsidRPr="67A9E11E">
          <w:rPr>
            <w:rStyle w:val="Hyperlink"/>
            <w:rFonts w:ascii="Calibri" w:eastAsia="Calibri" w:hAnsi="Calibri" w:cs="Calibri"/>
          </w:rPr>
          <w:t>Are Vaccine Ingredients Safe? Yes. (verywellhealth.com)</w:t>
        </w:r>
      </w:hyperlink>
    </w:p>
  </w:endnote>
  <w:endnote w:id="46">
    <w:p w14:paraId="1C6DAD94" w14:textId="5464F3DE" w:rsidR="720DBCFD" w:rsidRDefault="720DBCFD" w:rsidP="67A9E11E">
      <w:pPr>
        <w:pStyle w:val="EndnoteText"/>
      </w:pPr>
      <w:r w:rsidRPr="67A9E11E">
        <w:rPr>
          <w:rStyle w:val="EndnoteReference"/>
          <w:rFonts w:ascii="Calibri" w:eastAsia="Calibri" w:hAnsi="Calibri" w:cs="Calibri"/>
        </w:rPr>
        <w:endnoteRef/>
      </w:r>
      <w:r w:rsidR="67A9E11E" w:rsidRPr="67A9E11E">
        <w:rPr>
          <w:rFonts w:ascii="Calibri" w:eastAsia="Calibri" w:hAnsi="Calibri" w:cs="Calibri"/>
        </w:rPr>
        <w:t xml:space="preserve"> CDC. </w:t>
      </w:r>
      <w:r w:rsidR="67A9E11E" w:rsidRPr="67A9E11E">
        <w:rPr>
          <w:rFonts w:ascii="Calibri" w:eastAsia="Calibri" w:hAnsi="Calibri" w:cs="Calibri"/>
          <w:i/>
          <w:iCs/>
        </w:rPr>
        <w:t>What’s in Vaccines?</w:t>
      </w:r>
      <w:r w:rsidR="67A9E11E" w:rsidRPr="67A9E11E">
        <w:rPr>
          <w:rFonts w:ascii="Calibri" w:eastAsia="Calibri" w:hAnsi="Calibri" w:cs="Calibri"/>
        </w:rPr>
        <w:t xml:space="preserve"> Reviewed August 2019. Accessed January 2021. Available at: </w:t>
      </w:r>
      <w:hyperlink r:id="rId37">
        <w:r w:rsidR="67A9E11E" w:rsidRPr="67A9E11E">
          <w:rPr>
            <w:rStyle w:val="Hyperlink"/>
            <w:rFonts w:ascii="Calibri" w:eastAsia="Calibri" w:hAnsi="Calibri" w:cs="Calibri"/>
          </w:rPr>
          <w:t>Vaccine Ingredients | CDC</w:t>
        </w:r>
      </w:hyperlink>
    </w:p>
  </w:endnote>
  <w:endnote w:id="47">
    <w:p w14:paraId="185C5539" w14:textId="62B539EB" w:rsidR="004542DC" w:rsidRPr="004542DC" w:rsidRDefault="004542DC" w:rsidP="67A9E11E">
      <w:pPr>
        <w:pStyle w:val="EndnoteText"/>
      </w:pPr>
      <w:r w:rsidRPr="67A9E11E">
        <w:rPr>
          <w:rStyle w:val="EndnoteReference"/>
          <w:rFonts w:ascii="Calibri" w:eastAsia="Calibri" w:hAnsi="Calibri" w:cs="Calibri"/>
        </w:rPr>
        <w:endnoteRef/>
      </w:r>
      <w:r w:rsidR="67A9E11E" w:rsidRPr="67A9E11E">
        <w:rPr>
          <w:rFonts w:ascii="Calibri" w:eastAsia="Calibri" w:hAnsi="Calibri" w:cs="Calibri"/>
        </w:rPr>
        <w:t xml:space="preserve"> ACOG. </w:t>
      </w:r>
      <w:r w:rsidR="67A9E11E" w:rsidRPr="67A9E11E">
        <w:rPr>
          <w:rFonts w:ascii="Calibri" w:eastAsia="Calibri" w:hAnsi="Calibri" w:cs="Calibri"/>
          <w:i/>
          <w:iCs/>
        </w:rPr>
        <w:t>Immunization for Pregnant Women: A Call to Action.</w:t>
      </w:r>
      <w:r w:rsidR="67A9E11E" w:rsidRPr="67A9E11E">
        <w:rPr>
          <w:rFonts w:ascii="Calibri" w:eastAsia="Calibri" w:hAnsi="Calibri" w:cs="Calibri"/>
        </w:rPr>
        <w:t xml:space="preserve"> Reviewed July 2020. Accessed January 2021. Available at: </w:t>
      </w:r>
      <w:hyperlink r:id="rId38" w:history="1">
        <w:r w:rsidR="67A9E11E" w:rsidRPr="67A9E11E">
          <w:rPr>
            <w:rStyle w:val="Hyperlink"/>
            <w:rFonts w:ascii="Calibri" w:eastAsia="Calibri" w:hAnsi="Calibri" w:cs="Calibri"/>
          </w:rPr>
          <w:t>Immunization for Pregnant Women: A Call to Action | ACOG</w:t>
        </w:r>
      </w:hyperlink>
    </w:p>
  </w:endnote>
  <w:endnote w:id="48">
    <w:p w14:paraId="73AE91E9" w14:textId="3B3F6B39" w:rsidR="004542DC" w:rsidRPr="004542DC" w:rsidRDefault="004542DC" w:rsidP="67A9E11E">
      <w:pPr>
        <w:pStyle w:val="EndnoteText"/>
      </w:pPr>
      <w:r w:rsidRPr="67A9E11E">
        <w:rPr>
          <w:rStyle w:val="EndnoteReference"/>
          <w:rFonts w:ascii="Calibri" w:eastAsia="Calibri" w:hAnsi="Calibri" w:cs="Calibri"/>
        </w:rPr>
        <w:endnoteRef/>
      </w:r>
      <w:r w:rsidR="67A9E11E" w:rsidRPr="67A9E11E">
        <w:rPr>
          <w:rFonts w:ascii="Calibri" w:eastAsia="Calibri" w:hAnsi="Calibri" w:cs="Calibri"/>
        </w:rPr>
        <w:t xml:space="preserve"> IAC. </w:t>
      </w:r>
      <w:r w:rsidR="67A9E11E" w:rsidRPr="67A9E11E">
        <w:rPr>
          <w:rFonts w:ascii="Calibri" w:eastAsia="Calibri" w:hAnsi="Calibri" w:cs="Calibri"/>
          <w:i/>
          <w:iCs/>
        </w:rPr>
        <w:t>State Exemptions</w:t>
      </w:r>
      <w:r w:rsidR="67A9E11E" w:rsidRPr="67A9E11E">
        <w:rPr>
          <w:rFonts w:ascii="Calibri" w:eastAsia="Calibri" w:hAnsi="Calibri" w:cs="Calibri"/>
        </w:rPr>
        <w:t xml:space="preserve">. Updated February 2020. Accessed January 2021. Available at: </w:t>
      </w:r>
      <w:hyperlink r:id="rId39" w:history="1">
        <w:r w:rsidR="67A9E11E" w:rsidRPr="67A9E11E">
          <w:rPr>
            <w:rStyle w:val="Hyperlink"/>
            <w:rFonts w:ascii="Calibri" w:eastAsia="Calibri" w:hAnsi="Calibri" w:cs="Calibri"/>
          </w:rPr>
          <w:t>State Mandates on Immunization and Vaccine-Preventable Diseases (immunize.org)</w:t>
        </w:r>
      </w:hyperlink>
    </w:p>
  </w:endnote>
  <w:endnote w:id="49">
    <w:p w14:paraId="57D298A9" w14:textId="450FBD3B" w:rsidR="29F87363" w:rsidRDefault="29F87363" w:rsidP="29F87363">
      <w:pPr>
        <w:pStyle w:val="EndnoteText"/>
      </w:pPr>
      <w:r w:rsidRPr="29F87363">
        <w:rPr>
          <w:rStyle w:val="EndnoteReference"/>
        </w:rPr>
        <w:endnoteRef/>
      </w:r>
      <w:r>
        <w:t xml:space="preserve"> CHOP. </w:t>
      </w:r>
      <w:r w:rsidRPr="29F87363">
        <w:rPr>
          <w:i/>
          <w:iCs/>
        </w:rPr>
        <w:t>Vaccine Safety References</w:t>
      </w:r>
      <w:r w:rsidRPr="29F87363">
        <w:t xml:space="preserve">. Reviewed January 2021. Accessed February 2021.  Available at: </w:t>
      </w:r>
      <w:hyperlink r:id="rId40">
        <w:r w:rsidRPr="29F87363">
          <w:rPr>
            <w:rStyle w:val="Hyperlink"/>
          </w:rPr>
          <w:t>Vaccine Safety References | Children's Hospital of Philadelphia (chop.edu)</w:t>
        </w:r>
      </w:hyperlink>
    </w:p>
  </w:endnote>
  <w:endnote w:id="50">
    <w:p w14:paraId="5DDD78E3" w14:textId="0B7617FC" w:rsidR="29F87363" w:rsidRDefault="29F87363" w:rsidP="29F87363">
      <w:pPr>
        <w:pStyle w:val="EndnoteText"/>
      </w:pPr>
      <w:r w:rsidRPr="29F87363">
        <w:rPr>
          <w:rStyle w:val="EndnoteReference"/>
        </w:rPr>
        <w:endnoteRef/>
      </w:r>
      <w:r>
        <w:t xml:space="preserve"> CDC. </w:t>
      </w:r>
      <w:r w:rsidRPr="29F87363">
        <w:rPr>
          <w:i/>
          <w:iCs/>
        </w:rPr>
        <w:t>Provider’s Role: Importance of Vaccine Administration and Vaccine Storage &amp; Handling</w:t>
      </w:r>
      <w:r w:rsidRPr="29F87363">
        <w:t xml:space="preserve">. Reviewed April 2019. Accessed February 2021. Available at: </w:t>
      </w:r>
      <w:hyperlink r:id="rId41">
        <w:r w:rsidRPr="29F87363">
          <w:rPr>
            <w:rStyle w:val="Hyperlink"/>
          </w:rPr>
          <w:t>Provider's Role in Importance of Vaccine Administration and Storage | CDC</w:t>
        </w:r>
      </w:hyperlink>
    </w:p>
  </w:endnote>
  <w:endnote w:id="51">
    <w:p w14:paraId="744E766B" w14:textId="1C10305F" w:rsidR="004542DC" w:rsidRPr="004542DC" w:rsidRDefault="004542DC" w:rsidP="67A9E11E">
      <w:pPr>
        <w:pStyle w:val="EndnoteText"/>
      </w:pPr>
      <w:r w:rsidRPr="67A9E11E">
        <w:rPr>
          <w:rStyle w:val="EndnoteReference"/>
          <w:rFonts w:ascii="Calibri" w:eastAsia="Calibri" w:hAnsi="Calibri" w:cs="Calibri"/>
        </w:rPr>
        <w:endnoteRef/>
      </w:r>
      <w:r w:rsidR="67A9E11E" w:rsidRPr="67A9E11E">
        <w:rPr>
          <w:rFonts w:ascii="Calibri" w:eastAsia="Calibri" w:hAnsi="Calibri" w:cs="Calibri"/>
        </w:rPr>
        <w:t xml:space="preserve"> CDC. </w:t>
      </w:r>
      <w:r w:rsidR="67A9E11E" w:rsidRPr="67A9E11E">
        <w:rPr>
          <w:rFonts w:ascii="Calibri" w:eastAsia="Calibri" w:hAnsi="Calibri" w:cs="Calibri"/>
          <w:i/>
          <w:iCs/>
        </w:rPr>
        <w:t>Influenza Vaccination Information for Health Care Workers.</w:t>
      </w:r>
      <w:r w:rsidR="67A9E11E" w:rsidRPr="67A9E11E">
        <w:rPr>
          <w:rFonts w:ascii="Calibri" w:eastAsia="Calibri" w:hAnsi="Calibri" w:cs="Calibri"/>
        </w:rPr>
        <w:t xml:space="preserve"> Reviewed November 2020. Accessed January 2021. Available at: </w:t>
      </w:r>
      <w:hyperlink r:id="rId42" w:history="1">
        <w:r w:rsidR="67A9E11E" w:rsidRPr="67A9E11E">
          <w:rPr>
            <w:rStyle w:val="Hyperlink"/>
            <w:rFonts w:ascii="Calibri" w:eastAsia="Calibri" w:hAnsi="Calibri" w:cs="Calibri"/>
          </w:rPr>
          <w:t>Influenza Vaccination Information for Health Care Workers | CDC</w:t>
        </w:r>
      </w:hyperlink>
    </w:p>
  </w:endnote>
  <w:endnote w:id="52">
    <w:p w14:paraId="41DCABF1" w14:textId="01334E2C" w:rsidR="29F87363" w:rsidRDefault="29F87363" w:rsidP="29F87363">
      <w:pPr>
        <w:pStyle w:val="EndnoteText"/>
      </w:pPr>
      <w:r w:rsidRPr="29F87363">
        <w:rPr>
          <w:rStyle w:val="EndnoteReference"/>
        </w:rPr>
        <w:endnoteRef/>
      </w:r>
      <w:r>
        <w:t xml:space="preserve"> CDC. </w:t>
      </w:r>
      <w:r w:rsidRPr="29F87363">
        <w:rPr>
          <w:i/>
          <w:iCs/>
        </w:rPr>
        <w:t>Vaccination Laws</w:t>
      </w:r>
      <w:r w:rsidRPr="29F87363">
        <w:t xml:space="preserve">. Reviewed February 2018. Accessed February 2021. Available at: </w:t>
      </w:r>
      <w:hyperlink r:id="rId43">
        <w:r w:rsidRPr="29F87363">
          <w:rPr>
            <w:rStyle w:val="Hyperlink"/>
          </w:rPr>
          <w:t>CDC - Vaccination Laws - Publications by Topic - Public Health Law</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8A789" w14:textId="77777777" w:rsidR="00BD58C0" w:rsidRDefault="00BD58C0" w:rsidP="00FD506D">
      <w:pPr>
        <w:spacing w:after="0" w:line="240" w:lineRule="auto"/>
      </w:pPr>
      <w:r>
        <w:separator/>
      </w:r>
    </w:p>
  </w:footnote>
  <w:footnote w:type="continuationSeparator" w:id="0">
    <w:p w14:paraId="7DCC1C7A" w14:textId="77777777" w:rsidR="00BD58C0" w:rsidRDefault="00BD58C0" w:rsidP="00FD50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C0AF8"/>
    <w:multiLevelType w:val="hybridMultilevel"/>
    <w:tmpl w:val="8490EF1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D34CC"/>
    <w:multiLevelType w:val="hybridMultilevel"/>
    <w:tmpl w:val="5F141720"/>
    <w:lvl w:ilvl="0" w:tplc="96AE244A">
      <w:start w:val="1"/>
      <w:numFmt w:val="bullet"/>
      <w:lvlText w:val=""/>
      <w:lvlJc w:val="left"/>
      <w:pPr>
        <w:ind w:left="720" w:hanging="360"/>
      </w:pPr>
      <w:rPr>
        <w:rFonts w:ascii="Wingdings" w:hAnsi="Wingdings" w:hint="default"/>
      </w:rPr>
    </w:lvl>
    <w:lvl w:ilvl="1" w:tplc="7152FA34">
      <w:start w:val="1"/>
      <w:numFmt w:val="bullet"/>
      <w:lvlText w:val="o"/>
      <w:lvlJc w:val="left"/>
      <w:pPr>
        <w:ind w:left="1440" w:hanging="360"/>
      </w:pPr>
      <w:rPr>
        <w:rFonts w:ascii="Courier New" w:hAnsi="Courier New" w:hint="default"/>
      </w:rPr>
    </w:lvl>
    <w:lvl w:ilvl="2" w:tplc="6A500832">
      <w:start w:val="1"/>
      <w:numFmt w:val="bullet"/>
      <w:lvlText w:val=""/>
      <w:lvlJc w:val="left"/>
      <w:pPr>
        <w:ind w:left="2160" w:hanging="360"/>
      </w:pPr>
      <w:rPr>
        <w:rFonts w:ascii="Wingdings" w:hAnsi="Wingdings" w:hint="default"/>
      </w:rPr>
    </w:lvl>
    <w:lvl w:ilvl="3" w:tplc="C7C8DA14">
      <w:start w:val="1"/>
      <w:numFmt w:val="bullet"/>
      <w:lvlText w:val=""/>
      <w:lvlJc w:val="left"/>
      <w:pPr>
        <w:ind w:left="2880" w:hanging="360"/>
      </w:pPr>
      <w:rPr>
        <w:rFonts w:ascii="Symbol" w:hAnsi="Symbol" w:hint="default"/>
      </w:rPr>
    </w:lvl>
    <w:lvl w:ilvl="4" w:tplc="EFB20278">
      <w:start w:val="1"/>
      <w:numFmt w:val="bullet"/>
      <w:lvlText w:val="o"/>
      <w:lvlJc w:val="left"/>
      <w:pPr>
        <w:ind w:left="3600" w:hanging="360"/>
      </w:pPr>
      <w:rPr>
        <w:rFonts w:ascii="Courier New" w:hAnsi="Courier New" w:hint="default"/>
      </w:rPr>
    </w:lvl>
    <w:lvl w:ilvl="5" w:tplc="F6BE8376">
      <w:start w:val="1"/>
      <w:numFmt w:val="bullet"/>
      <w:lvlText w:val=""/>
      <w:lvlJc w:val="left"/>
      <w:pPr>
        <w:ind w:left="4320" w:hanging="360"/>
      </w:pPr>
      <w:rPr>
        <w:rFonts w:ascii="Wingdings" w:hAnsi="Wingdings" w:hint="default"/>
      </w:rPr>
    </w:lvl>
    <w:lvl w:ilvl="6" w:tplc="C0809E96">
      <w:start w:val="1"/>
      <w:numFmt w:val="bullet"/>
      <w:lvlText w:val=""/>
      <w:lvlJc w:val="left"/>
      <w:pPr>
        <w:ind w:left="5040" w:hanging="360"/>
      </w:pPr>
      <w:rPr>
        <w:rFonts w:ascii="Symbol" w:hAnsi="Symbol" w:hint="default"/>
      </w:rPr>
    </w:lvl>
    <w:lvl w:ilvl="7" w:tplc="84E4A6B0">
      <w:start w:val="1"/>
      <w:numFmt w:val="bullet"/>
      <w:lvlText w:val="o"/>
      <w:lvlJc w:val="left"/>
      <w:pPr>
        <w:ind w:left="5760" w:hanging="360"/>
      </w:pPr>
      <w:rPr>
        <w:rFonts w:ascii="Courier New" w:hAnsi="Courier New" w:hint="default"/>
      </w:rPr>
    </w:lvl>
    <w:lvl w:ilvl="8" w:tplc="2AC07F88">
      <w:start w:val="1"/>
      <w:numFmt w:val="bullet"/>
      <w:lvlText w:val=""/>
      <w:lvlJc w:val="left"/>
      <w:pPr>
        <w:ind w:left="6480" w:hanging="360"/>
      </w:pPr>
      <w:rPr>
        <w:rFonts w:ascii="Wingdings" w:hAnsi="Wingdings" w:hint="default"/>
      </w:rPr>
    </w:lvl>
  </w:abstractNum>
  <w:abstractNum w:abstractNumId="2" w15:restartNumberingAfterBreak="0">
    <w:nsid w:val="04042E9C"/>
    <w:multiLevelType w:val="hybridMultilevel"/>
    <w:tmpl w:val="95648D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A1A54"/>
    <w:multiLevelType w:val="hybridMultilevel"/>
    <w:tmpl w:val="97AC2C14"/>
    <w:lvl w:ilvl="0" w:tplc="6ED8DE3A">
      <w:start w:val="1"/>
      <w:numFmt w:val="bullet"/>
      <w:lvlText w:val=""/>
      <w:lvlJc w:val="left"/>
      <w:pPr>
        <w:ind w:left="720" w:hanging="360"/>
      </w:pPr>
      <w:rPr>
        <w:rFonts w:ascii="Wingdings" w:hAnsi="Wingdings" w:hint="default"/>
      </w:rPr>
    </w:lvl>
    <w:lvl w:ilvl="1" w:tplc="D9CAAB1C">
      <w:start w:val="1"/>
      <w:numFmt w:val="bullet"/>
      <w:lvlText w:val="o"/>
      <w:lvlJc w:val="left"/>
      <w:pPr>
        <w:ind w:left="1440" w:hanging="360"/>
      </w:pPr>
      <w:rPr>
        <w:rFonts w:ascii="Courier New" w:hAnsi="Courier New" w:hint="default"/>
      </w:rPr>
    </w:lvl>
    <w:lvl w:ilvl="2" w:tplc="0306490A">
      <w:start w:val="1"/>
      <w:numFmt w:val="bullet"/>
      <w:lvlText w:val=""/>
      <w:lvlJc w:val="left"/>
      <w:pPr>
        <w:ind w:left="2160" w:hanging="360"/>
      </w:pPr>
      <w:rPr>
        <w:rFonts w:ascii="Wingdings" w:hAnsi="Wingdings" w:hint="default"/>
      </w:rPr>
    </w:lvl>
    <w:lvl w:ilvl="3" w:tplc="7C847278">
      <w:start w:val="1"/>
      <w:numFmt w:val="bullet"/>
      <w:lvlText w:val=""/>
      <w:lvlJc w:val="left"/>
      <w:pPr>
        <w:ind w:left="2880" w:hanging="360"/>
      </w:pPr>
      <w:rPr>
        <w:rFonts w:ascii="Symbol" w:hAnsi="Symbol" w:hint="default"/>
      </w:rPr>
    </w:lvl>
    <w:lvl w:ilvl="4" w:tplc="CFBACB42">
      <w:start w:val="1"/>
      <w:numFmt w:val="bullet"/>
      <w:lvlText w:val="o"/>
      <w:lvlJc w:val="left"/>
      <w:pPr>
        <w:ind w:left="3600" w:hanging="360"/>
      </w:pPr>
      <w:rPr>
        <w:rFonts w:ascii="Courier New" w:hAnsi="Courier New" w:hint="default"/>
      </w:rPr>
    </w:lvl>
    <w:lvl w:ilvl="5" w:tplc="32F2BD4A">
      <w:start w:val="1"/>
      <w:numFmt w:val="bullet"/>
      <w:lvlText w:val=""/>
      <w:lvlJc w:val="left"/>
      <w:pPr>
        <w:ind w:left="4320" w:hanging="360"/>
      </w:pPr>
      <w:rPr>
        <w:rFonts w:ascii="Wingdings" w:hAnsi="Wingdings" w:hint="default"/>
      </w:rPr>
    </w:lvl>
    <w:lvl w:ilvl="6" w:tplc="5956D0C4">
      <w:start w:val="1"/>
      <w:numFmt w:val="bullet"/>
      <w:lvlText w:val=""/>
      <w:lvlJc w:val="left"/>
      <w:pPr>
        <w:ind w:left="5040" w:hanging="360"/>
      </w:pPr>
      <w:rPr>
        <w:rFonts w:ascii="Symbol" w:hAnsi="Symbol" w:hint="default"/>
      </w:rPr>
    </w:lvl>
    <w:lvl w:ilvl="7" w:tplc="7530337A">
      <w:start w:val="1"/>
      <w:numFmt w:val="bullet"/>
      <w:lvlText w:val="o"/>
      <w:lvlJc w:val="left"/>
      <w:pPr>
        <w:ind w:left="5760" w:hanging="360"/>
      </w:pPr>
      <w:rPr>
        <w:rFonts w:ascii="Courier New" w:hAnsi="Courier New" w:hint="default"/>
      </w:rPr>
    </w:lvl>
    <w:lvl w:ilvl="8" w:tplc="2BC6CDF8">
      <w:start w:val="1"/>
      <w:numFmt w:val="bullet"/>
      <w:lvlText w:val=""/>
      <w:lvlJc w:val="left"/>
      <w:pPr>
        <w:ind w:left="6480" w:hanging="360"/>
      </w:pPr>
      <w:rPr>
        <w:rFonts w:ascii="Wingdings" w:hAnsi="Wingdings" w:hint="default"/>
      </w:rPr>
    </w:lvl>
  </w:abstractNum>
  <w:abstractNum w:abstractNumId="4" w15:restartNumberingAfterBreak="0">
    <w:nsid w:val="09B104AD"/>
    <w:multiLevelType w:val="hybridMultilevel"/>
    <w:tmpl w:val="18EC65FE"/>
    <w:lvl w:ilvl="0" w:tplc="5B6E02A2">
      <w:start w:val="1"/>
      <w:numFmt w:val="bullet"/>
      <w:lvlText w:val=""/>
      <w:lvlJc w:val="left"/>
      <w:pPr>
        <w:ind w:left="720" w:hanging="360"/>
      </w:pPr>
      <w:rPr>
        <w:rFonts w:ascii="Wingdings" w:hAnsi="Wingdings" w:hint="default"/>
      </w:rPr>
    </w:lvl>
    <w:lvl w:ilvl="1" w:tplc="625AAB5E">
      <w:start w:val="1"/>
      <w:numFmt w:val="bullet"/>
      <w:lvlText w:val="o"/>
      <w:lvlJc w:val="left"/>
      <w:pPr>
        <w:ind w:left="1440" w:hanging="360"/>
      </w:pPr>
      <w:rPr>
        <w:rFonts w:ascii="Courier New" w:hAnsi="Courier New" w:hint="default"/>
      </w:rPr>
    </w:lvl>
    <w:lvl w:ilvl="2" w:tplc="E4900852">
      <w:start w:val="1"/>
      <w:numFmt w:val="bullet"/>
      <w:lvlText w:val=""/>
      <w:lvlJc w:val="left"/>
      <w:pPr>
        <w:ind w:left="2160" w:hanging="360"/>
      </w:pPr>
      <w:rPr>
        <w:rFonts w:ascii="Wingdings" w:hAnsi="Wingdings" w:hint="default"/>
      </w:rPr>
    </w:lvl>
    <w:lvl w:ilvl="3" w:tplc="6ACA3D2A">
      <w:start w:val="1"/>
      <w:numFmt w:val="bullet"/>
      <w:lvlText w:val=""/>
      <w:lvlJc w:val="left"/>
      <w:pPr>
        <w:ind w:left="2880" w:hanging="360"/>
      </w:pPr>
      <w:rPr>
        <w:rFonts w:ascii="Symbol" w:hAnsi="Symbol" w:hint="default"/>
      </w:rPr>
    </w:lvl>
    <w:lvl w:ilvl="4" w:tplc="EA7E767E">
      <w:start w:val="1"/>
      <w:numFmt w:val="bullet"/>
      <w:lvlText w:val="o"/>
      <w:lvlJc w:val="left"/>
      <w:pPr>
        <w:ind w:left="3600" w:hanging="360"/>
      </w:pPr>
      <w:rPr>
        <w:rFonts w:ascii="Courier New" w:hAnsi="Courier New" w:hint="default"/>
      </w:rPr>
    </w:lvl>
    <w:lvl w:ilvl="5" w:tplc="22AA2152">
      <w:start w:val="1"/>
      <w:numFmt w:val="bullet"/>
      <w:lvlText w:val=""/>
      <w:lvlJc w:val="left"/>
      <w:pPr>
        <w:ind w:left="4320" w:hanging="360"/>
      </w:pPr>
      <w:rPr>
        <w:rFonts w:ascii="Wingdings" w:hAnsi="Wingdings" w:hint="default"/>
      </w:rPr>
    </w:lvl>
    <w:lvl w:ilvl="6" w:tplc="9FB67BDE">
      <w:start w:val="1"/>
      <w:numFmt w:val="bullet"/>
      <w:lvlText w:val=""/>
      <w:lvlJc w:val="left"/>
      <w:pPr>
        <w:ind w:left="5040" w:hanging="360"/>
      </w:pPr>
      <w:rPr>
        <w:rFonts w:ascii="Symbol" w:hAnsi="Symbol" w:hint="default"/>
      </w:rPr>
    </w:lvl>
    <w:lvl w:ilvl="7" w:tplc="625031F2">
      <w:start w:val="1"/>
      <w:numFmt w:val="bullet"/>
      <w:lvlText w:val="o"/>
      <w:lvlJc w:val="left"/>
      <w:pPr>
        <w:ind w:left="5760" w:hanging="360"/>
      </w:pPr>
      <w:rPr>
        <w:rFonts w:ascii="Courier New" w:hAnsi="Courier New" w:hint="default"/>
      </w:rPr>
    </w:lvl>
    <w:lvl w:ilvl="8" w:tplc="9E70AC42">
      <w:start w:val="1"/>
      <w:numFmt w:val="bullet"/>
      <w:lvlText w:val=""/>
      <w:lvlJc w:val="left"/>
      <w:pPr>
        <w:ind w:left="6480" w:hanging="360"/>
      </w:pPr>
      <w:rPr>
        <w:rFonts w:ascii="Wingdings" w:hAnsi="Wingdings" w:hint="default"/>
      </w:rPr>
    </w:lvl>
  </w:abstractNum>
  <w:abstractNum w:abstractNumId="5" w15:restartNumberingAfterBreak="0">
    <w:nsid w:val="14B17728"/>
    <w:multiLevelType w:val="hybridMultilevel"/>
    <w:tmpl w:val="191ED42E"/>
    <w:lvl w:ilvl="0" w:tplc="74D24218">
      <w:start w:val="1"/>
      <w:numFmt w:val="bullet"/>
      <w:lvlText w:val=""/>
      <w:lvlJc w:val="left"/>
      <w:pPr>
        <w:ind w:left="720" w:hanging="360"/>
      </w:pPr>
      <w:rPr>
        <w:rFonts w:ascii="Wingdings" w:hAnsi="Wingdings" w:hint="default"/>
      </w:rPr>
    </w:lvl>
    <w:lvl w:ilvl="1" w:tplc="14F8AD4E">
      <w:start w:val="1"/>
      <w:numFmt w:val="bullet"/>
      <w:lvlText w:val="o"/>
      <w:lvlJc w:val="left"/>
      <w:pPr>
        <w:ind w:left="1440" w:hanging="360"/>
      </w:pPr>
      <w:rPr>
        <w:rFonts w:ascii="Courier New" w:hAnsi="Courier New" w:hint="default"/>
      </w:rPr>
    </w:lvl>
    <w:lvl w:ilvl="2" w:tplc="1FD698F0">
      <w:start w:val="1"/>
      <w:numFmt w:val="bullet"/>
      <w:lvlText w:val=""/>
      <w:lvlJc w:val="left"/>
      <w:pPr>
        <w:ind w:left="2160" w:hanging="360"/>
      </w:pPr>
      <w:rPr>
        <w:rFonts w:ascii="Wingdings" w:hAnsi="Wingdings" w:hint="default"/>
      </w:rPr>
    </w:lvl>
    <w:lvl w:ilvl="3" w:tplc="BACA59BA">
      <w:start w:val="1"/>
      <w:numFmt w:val="bullet"/>
      <w:lvlText w:val=""/>
      <w:lvlJc w:val="left"/>
      <w:pPr>
        <w:ind w:left="2880" w:hanging="360"/>
      </w:pPr>
      <w:rPr>
        <w:rFonts w:ascii="Symbol" w:hAnsi="Symbol" w:hint="default"/>
      </w:rPr>
    </w:lvl>
    <w:lvl w:ilvl="4" w:tplc="C9068154">
      <w:start w:val="1"/>
      <w:numFmt w:val="bullet"/>
      <w:lvlText w:val="o"/>
      <w:lvlJc w:val="left"/>
      <w:pPr>
        <w:ind w:left="3600" w:hanging="360"/>
      </w:pPr>
      <w:rPr>
        <w:rFonts w:ascii="Courier New" w:hAnsi="Courier New" w:hint="default"/>
      </w:rPr>
    </w:lvl>
    <w:lvl w:ilvl="5" w:tplc="F4EED3BE">
      <w:start w:val="1"/>
      <w:numFmt w:val="bullet"/>
      <w:lvlText w:val=""/>
      <w:lvlJc w:val="left"/>
      <w:pPr>
        <w:ind w:left="4320" w:hanging="360"/>
      </w:pPr>
      <w:rPr>
        <w:rFonts w:ascii="Wingdings" w:hAnsi="Wingdings" w:hint="default"/>
      </w:rPr>
    </w:lvl>
    <w:lvl w:ilvl="6" w:tplc="BE962D8E">
      <w:start w:val="1"/>
      <w:numFmt w:val="bullet"/>
      <w:lvlText w:val=""/>
      <w:lvlJc w:val="left"/>
      <w:pPr>
        <w:ind w:left="5040" w:hanging="360"/>
      </w:pPr>
      <w:rPr>
        <w:rFonts w:ascii="Symbol" w:hAnsi="Symbol" w:hint="default"/>
      </w:rPr>
    </w:lvl>
    <w:lvl w:ilvl="7" w:tplc="F5A0A8FC">
      <w:start w:val="1"/>
      <w:numFmt w:val="bullet"/>
      <w:lvlText w:val="o"/>
      <w:lvlJc w:val="left"/>
      <w:pPr>
        <w:ind w:left="5760" w:hanging="360"/>
      </w:pPr>
      <w:rPr>
        <w:rFonts w:ascii="Courier New" w:hAnsi="Courier New" w:hint="default"/>
      </w:rPr>
    </w:lvl>
    <w:lvl w:ilvl="8" w:tplc="72FA82D8">
      <w:start w:val="1"/>
      <w:numFmt w:val="bullet"/>
      <w:lvlText w:val=""/>
      <w:lvlJc w:val="left"/>
      <w:pPr>
        <w:ind w:left="6480" w:hanging="360"/>
      </w:pPr>
      <w:rPr>
        <w:rFonts w:ascii="Wingdings" w:hAnsi="Wingdings" w:hint="default"/>
      </w:rPr>
    </w:lvl>
  </w:abstractNum>
  <w:abstractNum w:abstractNumId="6" w15:restartNumberingAfterBreak="0">
    <w:nsid w:val="169A4E82"/>
    <w:multiLevelType w:val="hybridMultilevel"/>
    <w:tmpl w:val="1A0A6718"/>
    <w:lvl w:ilvl="0" w:tplc="61B25128">
      <w:start w:val="1"/>
      <w:numFmt w:val="decimal"/>
      <w:lvlText w:val="%1."/>
      <w:lvlJc w:val="left"/>
      <w:pPr>
        <w:ind w:left="720" w:hanging="360"/>
      </w:pPr>
    </w:lvl>
    <w:lvl w:ilvl="1" w:tplc="C00E9088">
      <w:start w:val="1"/>
      <w:numFmt w:val="lowerLetter"/>
      <w:lvlText w:val="%2."/>
      <w:lvlJc w:val="left"/>
      <w:pPr>
        <w:ind w:left="1440" w:hanging="360"/>
      </w:pPr>
    </w:lvl>
    <w:lvl w:ilvl="2" w:tplc="251051EE">
      <w:start w:val="1"/>
      <w:numFmt w:val="lowerRoman"/>
      <w:lvlText w:val="%3."/>
      <w:lvlJc w:val="right"/>
      <w:pPr>
        <w:ind w:left="2160" w:hanging="180"/>
      </w:pPr>
    </w:lvl>
    <w:lvl w:ilvl="3" w:tplc="8C54E2C8">
      <w:start w:val="1"/>
      <w:numFmt w:val="decimal"/>
      <w:lvlText w:val="%4."/>
      <w:lvlJc w:val="left"/>
      <w:pPr>
        <w:ind w:left="2880" w:hanging="360"/>
      </w:pPr>
    </w:lvl>
    <w:lvl w:ilvl="4" w:tplc="AB2E8F3E">
      <w:start w:val="1"/>
      <w:numFmt w:val="lowerLetter"/>
      <w:lvlText w:val="%5."/>
      <w:lvlJc w:val="left"/>
      <w:pPr>
        <w:ind w:left="3600" w:hanging="360"/>
      </w:pPr>
    </w:lvl>
    <w:lvl w:ilvl="5" w:tplc="BE929D1A">
      <w:start w:val="1"/>
      <w:numFmt w:val="lowerRoman"/>
      <w:lvlText w:val="%6."/>
      <w:lvlJc w:val="right"/>
      <w:pPr>
        <w:ind w:left="4320" w:hanging="180"/>
      </w:pPr>
    </w:lvl>
    <w:lvl w:ilvl="6" w:tplc="8EE2151A">
      <w:start w:val="1"/>
      <w:numFmt w:val="decimal"/>
      <w:lvlText w:val="%7."/>
      <w:lvlJc w:val="left"/>
      <w:pPr>
        <w:ind w:left="5040" w:hanging="360"/>
      </w:pPr>
    </w:lvl>
    <w:lvl w:ilvl="7" w:tplc="E790436E">
      <w:start w:val="1"/>
      <w:numFmt w:val="lowerLetter"/>
      <w:lvlText w:val="%8."/>
      <w:lvlJc w:val="left"/>
      <w:pPr>
        <w:ind w:left="5760" w:hanging="360"/>
      </w:pPr>
    </w:lvl>
    <w:lvl w:ilvl="8" w:tplc="3FC02ACE">
      <w:start w:val="1"/>
      <w:numFmt w:val="lowerRoman"/>
      <w:lvlText w:val="%9."/>
      <w:lvlJc w:val="right"/>
      <w:pPr>
        <w:ind w:left="6480" w:hanging="180"/>
      </w:pPr>
    </w:lvl>
  </w:abstractNum>
  <w:abstractNum w:abstractNumId="7" w15:restartNumberingAfterBreak="0">
    <w:nsid w:val="198C4B61"/>
    <w:multiLevelType w:val="hybridMultilevel"/>
    <w:tmpl w:val="1CEA824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97D96"/>
    <w:multiLevelType w:val="hybridMultilevel"/>
    <w:tmpl w:val="57A008F6"/>
    <w:lvl w:ilvl="0" w:tplc="C0BA2650">
      <w:start w:val="1"/>
      <w:numFmt w:val="bullet"/>
      <w:lvlText w:val=""/>
      <w:lvlJc w:val="left"/>
      <w:pPr>
        <w:tabs>
          <w:tab w:val="num" w:pos="720"/>
        </w:tabs>
        <w:ind w:left="720" w:hanging="360"/>
      </w:pPr>
      <w:rPr>
        <w:rFonts w:ascii="Symbol" w:hAnsi="Symbol" w:hint="default"/>
        <w:sz w:val="20"/>
      </w:rPr>
    </w:lvl>
    <w:lvl w:ilvl="1" w:tplc="56661AE2" w:tentative="1">
      <w:start w:val="1"/>
      <w:numFmt w:val="bullet"/>
      <w:lvlText w:val=""/>
      <w:lvlJc w:val="left"/>
      <w:pPr>
        <w:tabs>
          <w:tab w:val="num" w:pos="1440"/>
        </w:tabs>
        <w:ind w:left="1440" w:hanging="360"/>
      </w:pPr>
      <w:rPr>
        <w:rFonts w:ascii="Symbol" w:hAnsi="Symbol" w:hint="default"/>
        <w:sz w:val="20"/>
      </w:rPr>
    </w:lvl>
    <w:lvl w:ilvl="2" w:tplc="C14E77D8" w:tentative="1">
      <w:start w:val="1"/>
      <w:numFmt w:val="bullet"/>
      <w:lvlText w:val=""/>
      <w:lvlJc w:val="left"/>
      <w:pPr>
        <w:tabs>
          <w:tab w:val="num" w:pos="2160"/>
        </w:tabs>
        <w:ind w:left="2160" w:hanging="360"/>
      </w:pPr>
      <w:rPr>
        <w:rFonts w:ascii="Symbol" w:hAnsi="Symbol" w:hint="default"/>
        <w:sz w:val="20"/>
      </w:rPr>
    </w:lvl>
    <w:lvl w:ilvl="3" w:tplc="3FEEEA4C" w:tentative="1">
      <w:start w:val="1"/>
      <w:numFmt w:val="bullet"/>
      <w:lvlText w:val=""/>
      <w:lvlJc w:val="left"/>
      <w:pPr>
        <w:tabs>
          <w:tab w:val="num" w:pos="2880"/>
        </w:tabs>
        <w:ind w:left="2880" w:hanging="360"/>
      </w:pPr>
      <w:rPr>
        <w:rFonts w:ascii="Symbol" w:hAnsi="Symbol" w:hint="default"/>
        <w:sz w:val="20"/>
      </w:rPr>
    </w:lvl>
    <w:lvl w:ilvl="4" w:tplc="29C6E830" w:tentative="1">
      <w:start w:val="1"/>
      <w:numFmt w:val="bullet"/>
      <w:lvlText w:val=""/>
      <w:lvlJc w:val="left"/>
      <w:pPr>
        <w:tabs>
          <w:tab w:val="num" w:pos="3600"/>
        </w:tabs>
        <w:ind w:left="3600" w:hanging="360"/>
      </w:pPr>
      <w:rPr>
        <w:rFonts w:ascii="Symbol" w:hAnsi="Symbol" w:hint="default"/>
        <w:sz w:val="20"/>
      </w:rPr>
    </w:lvl>
    <w:lvl w:ilvl="5" w:tplc="2220A19C" w:tentative="1">
      <w:start w:val="1"/>
      <w:numFmt w:val="bullet"/>
      <w:lvlText w:val=""/>
      <w:lvlJc w:val="left"/>
      <w:pPr>
        <w:tabs>
          <w:tab w:val="num" w:pos="4320"/>
        </w:tabs>
        <w:ind w:left="4320" w:hanging="360"/>
      </w:pPr>
      <w:rPr>
        <w:rFonts w:ascii="Symbol" w:hAnsi="Symbol" w:hint="default"/>
        <w:sz w:val="20"/>
      </w:rPr>
    </w:lvl>
    <w:lvl w:ilvl="6" w:tplc="864E0826" w:tentative="1">
      <w:start w:val="1"/>
      <w:numFmt w:val="bullet"/>
      <w:lvlText w:val=""/>
      <w:lvlJc w:val="left"/>
      <w:pPr>
        <w:tabs>
          <w:tab w:val="num" w:pos="5040"/>
        </w:tabs>
        <w:ind w:left="5040" w:hanging="360"/>
      </w:pPr>
      <w:rPr>
        <w:rFonts w:ascii="Symbol" w:hAnsi="Symbol" w:hint="default"/>
        <w:sz w:val="20"/>
      </w:rPr>
    </w:lvl>
    <w:lvl w:ilvl="7" w:tplc="D33E79CC" w:tentative="1">
      <w:start w:val="1"/>
      <w:numFmt w:val="bullet"/>
      <w:lvlText w:val=""/>
      <w:lvlJc w:val="left"/>
      <w:pPr>
        <w:tabs>
          <w:tab w:val="num" w:pos="5760"/>
        </w:tabs>
        <w:ind w:left="5760" w:hanging="360"/>
      </w:pPr>
      <w:rPr>
        <w:rFonts w:ascii="Symbol" w:hAnsi="Symbol" w:hint="default"/>
        <w:sz w:val="20"/>
      </w:rPr>
    </w:lvl>
    <w:lvl w:ilvl="8" w:tplc="EE40B5B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C55D53"/>
    <w:multiLevelType w:val="hybridMultilevel"/>
    <w:tmpl w:val="FDF2C054"/>
    <w:lvl w:ilvl="0" w:tplc="CD2000E0">
      <w:start w:val="1"/>
      <w:numFmt w:val="bullet"/>
      <w:lvlText w:val=""/>
      <w:lvlJc w:val="left"/>
      <w:pPr>
        <w:ind w:left="720" w:hanging="360"/>
      </w:pPr>
      <w:rPr>
        <w:rFonts w:ascii="Wingdings" w:hAnsi="Wingdings" w:hint="default"/>
      </w:rPr>
    </w:lvl>
    <w:lvl w:ilvl="1" w:tplc="CB725D98">
      <w:start w:val="1"/>
      <w:numFmt w:val="bullet"/>
      <w:lvlText w:val="o"/>
      <w:lvlJc w:val="left"/>
      <w:pPr>
        <w:ind w:left="1440" w:hanging="360"/>
      </w:pPr>
      <w:rPr>
        <w:rFonts w:ascii="Courier New" w:hAnsi="Courier New" w:hint="default"/>
      </w:rPr>
    </w:lvl>
    <w:lvl w:ilvl="2" w:tplc="FB1E5F90">
      <w:start w:val="1"/>
      <w:numFmt w:val="bullet"/>
      <w:lvlText w:val=""/>
      <w:lvlJc w:val="left"/>
      <w:pPr>
        <w:ind w:left="2160" w:hanging="360"/>
      </w:pPr>
      <w:rPr>
        <w:rFonts w:ascii="Wingdings" w:hAnsi="Wingdings" w:hint="default"/>
      </w:rPr>
    </w:lvl>
    <w:lvl w:ilvl="3" w:tplc="94E6CAE0">
      <w:start w:val="1"/>
      <w:numFmt w:val="bullet"/>
      <w:lvlText w:val=""/>
      <w:lvlJc w:val="left"/>
      <w:pPr>
        <w:ind w:left="2880" w:hanging="360"/>
      </w:pPr>
      <w:rPr>
        <w:rFonts w:ascii="Symbol" w:hAnsi="Symbol" w:hint="default"/>
      </w:rPr>
    </w:lvl>
    <w:lvl w:ilvl="4" w:tplc="AF9EDE58">
      <w:start w:val="1"/>
      <w:numFmt w:val="bullet"/>
      <w:lvlText w:val="o"/>
      <w:lvlJc w:val="left"/>
      <w:pPr>
        <w:ind w:left="3600" w:hanging="360"/>
      </w:pPr>
      <w:rPr>
        <w:rFonts w:ascii="Courier New" w:hAnsi="Courier New" w:hint="default"/>
      </w:rPr>
    </w:lvl>
    <w:lvl w:ilvl="5" w:tplc="8D80F58C">
      <w:start w:val="1"/>
      <w:numFmt w:val="bullet"/>
      <w:lvlText w:val=""/>
      <w:lvlJc w:val="left"/>
      <w:pPr>
        <w:ind w:left="4320" w:hanging="360"/>
      </w:pPr>
      <w:rPr>
        <w:rFonts w:ascii="Wingdings" w:hAnsi="Wingdings" w:hint="default"/>
      </w:rPr>
    </w:lvl>
    <w:lvl w:ilvl="6" w:tplc="AA6C90B8">
      <w:start w:val="1"/>
      <w:numFmt w:val="bullet"/>
      <w:lvlText w:val=""/>
      <w:lvlJc w:val="left"/>
      <w:pPr>
        <w:ind w:left="5040" w:hanging="360"/>
      </w:pPr>
      <w:rPr>
        <w:rFonts w:ascii="Symbol" w:hAnsi="Symbol" w:hint="default"/>
      </w:rPr>
    </w:lvl>
    <w:lvl w:ilvl="7" w:tplc="522CDB2E">
      <w:start w:val="1"/>
      <w:numFmt w:val="bullet"/>
      <w:lvlText w:val="o"/>
      <w:lvlJc w:val="left"/>
      <w:pPr>
        <w:ind w:left="5760" w:hanging="360"/>
      </w:pPr>
      <w:rPr>
        <w:rFonts w:ascii="Courier New" w:hAnsi="Courier New" w:hint="default"/>
      </w:rPr>
    </w:lvl>
    <w:lvl w:ilvl="8" w:tplc="0E869A46">
      <w:start w:val="1"/>
      <w:numFmt w:val="bullet"/>
      <w:lvlText w:val=""/>
      <w:lvlJc w:val="left"/>
      <w:pPr>
        <w:ind w:left="6480" w:hanging="360"/>
      </w:pPr>
      <w:rPr>
        <w:rFonts w:ascii="Wingdings" w:hAnsi="Wingdings" w:hint="default"/>
      </w:rPr>
    </w:lvl>
  </w:abstractNum>
  <w:abstractNum w:abstractNumId="10" w15:restartNumberingAfterBreak="0">
    <w:nsid w:val="2E5107FD"/>
    <w:multiLevelType w:val="hybridMultilevel"/>
    <w:tmpl w:val="688413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A40078"/>
    <w:multiLevelType w:val="hybridMultilevel"/>
    <w:tmpl w:val="71CAE9F4"/>
    <w:lvl w:ilvl="0" w:tplc="E9CCEE0A">
      <w:start w:val="1"/>
      <w:numFmt w:val="bullet"/>
      <w:lvlText w:val=""/>
      <w:lvlJc w:val="left"/>
      <w:pPr>
        <w:ind w:left="720" w:hanging="360"/>
      </w:pPr>
      <w:rPr>
        <w:rFonts w:ascii="Wingdings" w:hAnsi="Wingdings" w:hint="default"/>
      </w:rPr>
    </w:lvl>
    <w:lvl w:ilvl="1" w:tplc="845C6346">
      <w:start w:val="1"/>
      <w:numFmt w:val="bullet"/>
      <w:lvlText w:val="o"/>
      <w:lvlJc w:val="left"/>
      <w:pPr>
        <w:ind w:left="1440" w:hanging="360"/>
      </w:pPr>
      <w:rPr>
        <w:rFonts w:ascii="Courier New" w:hAnsi="Courier New" w:hint="default"/>
      </w:rPr>
    </w:lvl>
    <w:lvl w:ilvl="2" w:tplc="C9DA6E2C">
      <w:start w:val="1"/>
      <w:numFmt w:val="bullet"/>
      <w:lvlText w:val=""/>
      <w:lvlJc w:val="left"/>
      <w:pPr>
        <w:ind w:left="2160" w:hanging="360"/>
      </w:pPr>
      <w:rPr>
        <w:rFonts w:ascii="Wingdings" w:hAnsi="Wingdings" w:hint="default"/>
      </w:rPr>
    </w:lvl>
    <w:lvl w:ilvl="3" w:tplc="1D8A8750">
      <w:start w:val="1"/>
      <w:numFmt w:val="bullet"/>
      <w:lvlText w:val=""/>
      <w:lvlJc w:val="left"/>
      <w:pPr>
        <w:ind w:left="2880" w:hanging="360"/>
      </w:pPr>
      <w:rPr>
        <w:rFonts w:ascii="Symbol" w:hAnsi="Symbol" w:hint="default"/>
      </w:rPr>
    </w:lvl>
    <w:lvl w:ilvl="4" w:tplc="9E6C1DD0">
      <w:start w:val="1"/>
      <w:numFmt w:val="bullet"/>
      <w:lvlText w:val="o"/>
      <w:lvlJc w:val="left"/>
      <w:pPr>
        <w:ind w:left="3600" w:hanging="360"/>
      </w:pPr>
      <w:rPr>
        <w:rFonts w:ascii="Courier New" w:hAnsi="Courier New" w:hint="default"/>
      </w:rPr>
    </w:lvl>
    <w:lvl w:ilvl="5" w:tplc="08E8FD3A">
      <w:start w:val="1"/>
      <w:numFmt w:val="bullet"/>
      <w:lvlText w:val=""/>
      <w:lvlJc w:val="left"/>
      <w:pPr>
        <w:ind w:left="4320" w:hanging="360"/>
      </w:pPr>
      <w:rPr>
        <w:rFonts w:ascii="Wingdings" w:hAnsi="Wingdings" w:hint="default"/>
      </w:rPr>
    </w:lvl>
    <w:lvl w:ilvl="6" w:tplc="21309FA4">
      <w:start w:val="1"/>
      <w:numFmt w:val="bullet"/>
      <w:lvlText w:val=""/>
      <w:lvlJc w:val="left"/>
      <w:pPr>
        <w:ind w:left="5040" w:hanging="360"/>
      </w:pPr>
      <w:rPr>
        <w:rFonts w:ascii="Symbol" w:hAnsi="Symbol" w:hint="default"/>
      </w:rPr>
    </w:lvl>
    <w:lvl w:ilvl="7" w:tplc="CCECFD8C">
      <w:start w:val="1"/>
      <w:numFmt w:val="bullet"/>
      <w:lvlText w:val="o"/>
      <w:lvlJc w:val="left"/>
      <w:pPr>
        <w:ind w:left="5760" w:hanging="360"/>
      </w:pPr>
      <w:rPr>
        <w:rFonts w:ascii="Courier New" w:hAnsi="Courier New" w:hint="default"/>
      </w:rPr>
    </w:lvl>
    <w:lvl w:ilvl="8" w:tplc="9704FCF6">
      <w:start w:val="1"/>
      <w:numFmt w:val="bullet"/>
      <w:lvlText w:val=""/>
      <w:lvlJc w:val="left"/>
      <w:pPr>
        <w:ind w:left="6480" w:hanging="360"/>
      </w:pPr>
      <w:rPr>
        <w:rFonts w:ascii="Wingdings" w:hAnsi="Wingdings" w:hint="default"/>
      </w:rPr>
    </w:lvl>
  </w:abstractNum>
  <w:abstractNum w:abstractNumId="12" w15:restartNumberingAfterBreak="0">
    <w:nsid w:val="388D2DC9"/>
    <w:multiLevelType w:val="hybridMultilevel"/>
    <w:tmpl w:val="63760C8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E10333"/>
    <w:multiLevelType w:val="hybridMultilevel"/>
    <w:tmpl w:val="B70CB7B2"/>
    <w:lvl w:ilvl="0" w:tplc="C2DAB06A">
      <w:start w:val="1"/>
      <w:numFmt w:val="bullet"/>
      <w:lvlText w:val=""/>
      <w:lvlJc w:val="left"/>
      <w:pPr>
        <w:ind w:left="720" w:hanging="360"/>
      </w:pPr>
      <w:rPr>
        <w:rFonts w:ascii="Wingdings" w:hAnsi="Wingdings" w:hint="default"/>
      </w:rPr>
    </w:lvl>
    <w:lvl w:ilvl="1" w:tplc="7F1AA65C">
      <w:start w:val="1"/>
      <w:numFmt w:val="bullet"/>
      <w:lvlText w:val="o"/>
      <w:lvlJc w:val="left"/>
      <w:pPr>
        <w:ind w:left="1440" w:hanging="360"/>
      </w:pPr>
      <w:rPr>
        <w:rFonts w:ascii="Courier New" w:hAnsi="Courier New" w:hint="default"/>
      </w:rPr>
    </w:lvl>
    <w:lvl w:ilvl="2" w:tplc="B596C798">
      <w:start w:val="1"/>
      <w:numFmt w:val="bullet"/>
      <w:lvlText w:val=""/>
      <w:lvlJc w:val="left"/>
      <w:pPr>
        <w:ind w:left="2160" w:hanging="360"/>
      </w:pPr>
      <w:rPr>
        <w:rFonts w:ascii="Wingdings" w:hAnsi="Wingdings" w:hint="default"/>
      </w:rPr>
    </w:lvl>
    <w:lvl w:ilvl="3" w:tplc="B54CA9B8">
      <w:start w:val="1"/>
      <w:numFmt w:val="bullet"/>
      <w:lvlText w:val=""/>
      <w:lvlJc w:val="left"/>
      <w:pPr>
        <w:ind w:left="2880" w:hanging="360"/>
      </w:pPr>
      <w:rPr>
        <w:rFonts w:ascii="Symbol" w:hAnsi="Symbol" w:hint="default"/>
      </w:rPr>
    </w:lvl>
    <w:lvl w:ilvl="4" w:tplc="61DEF75A">
      <w:start w:val="1"/>
      <w:numFmt w:val="bullet"/>
      <w:lvlText w:val="o"/>
      <w:lvlJc w:val="left"/>
      <w:pPr>
        <w:ind w:left="3600" w:hanging="360"/>
      </w:pPr>
      <w:rPr>
        <w:rFonts w:ascii="Courier New" w:hAnsi="Courier New" w:hint="default"/>
      </w:rPr>
    </w:lvl>
    <w:lvl w:ilvl="5" w:tplc="F18646C4">
      <w:start w:val="1"/>
      <w:numFmt w:val="bullet"/>
      <w:lvlText w:val=""/>
      <w:lvlJc w:val="left"/>
      <w:pPr>
        <w:ind w:left="4320" w:hanging="360"/>
      </w:pPr>
      <w:rPr>
        <w:rFonts w:ascii="Wingdings" w:hAnsi="Wingdings" w:hint="default"/>
      </w:rPr>
    </w:lvl>
    <w:lvl w:ilvl="6" w:tplc="1EE20DA2">
      <w:start w:val="1"/>
      <w:numFmt w:val="bullet"/>
      <w:lvlText w:val=""/>
      <w:lvlJc w:val="left"/>
      <w:pPr>
        <w:ind w:left="5040" w:hanging="360"/>
      </w:pPr>
      <w:rPr>
        <w:rFonts w:ascii="Symbol" w:hAnsi="Symbol" w:hint="default"/>
      </w:rPr>
    </w:lvl>
    <w:lvl w:ilvl="7" w:tplc="68C24D88">
      <w:start w:val="1"/>
      <w:numFmt w:val="bullet"/>
      <w:lvlText w:val="o"/>
      <w:lvlJc w:val="left"/>
      <w:pPr>
        <w:ind w:left="5760" w:hanging="360"/>
      </w:pPr>
      <w:rPr>
        <w:rFonts w:ascii="Courier New" w:hAnsi="Courier New" w:hint="default"/>
      </w:rPr>
    </w:lvl>
    <w:lvl w:ilvl="8" w:tplc="E47029CE">
      <w:start w:val="1"/>
      <w:numFmt w:val="bullet"/>
      <w:lvlText w:val=""/>
      <w:lvlJc w:val="left"/>
      <w:pPr>
        <w:ind w:left="6480" w:hanging="360"/>
      </w:pPr>
      <w:rPr>
        <w:rFonts w:ascii="Wingdings" w:hAnsi="Wingdings" w:hint="default"/>
      </w:rPr>
    </w:lvl>
  </w:abstractNum>
  <w:abstractNum w:abstractNumId="14" w15:restartNumberingAfterBreak="0">
    <w:nsid w:val="3EF175A5"/>
    <w:multiLevelType w:val="hybridMultilevel"/>
    <w:tmpl w:val="F398A4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A73B49"/>
    <w:multiLevelType w:val="hybridMultilevel"/>
    <w:tmpl w:val="518245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07DC1"/>
    <w:multiLevelType w:val="hybridMultilevel"/>
    <w:tmpl w:val="3D401FA0"/>
    <w:lvl w:ilvl="0" w:tplc="A8A44310">
      <w:start w:val="1"/>
      <w:numFmt w:val="bullet"/>
      <w:lvlText w:val=""/>
      <w:lvlJc w:val="left"/>
      <w:pPr>
        <w:ind w:left="720" w:hanging="360"/>
      </w:pPr>
      <w:rPr>
        <w:rFonts w:ascii="Wingdings" w:hAnsi="Wingdings" w:hint="default"/>
      </w:rPr>
    </w:lvl>
    <w:lvl w:ilvl="1" w:tplc="1DAA619A">
      <w:start w:val="1"/>
      <w:numFmt w:val="bullet"/>
      <w:lvlText w:val="o"/>
      <w:lvlJc w:val="left"/>
      <w:pPr>
        <w:ind w:left="1440" w:hanging="360"/>
      </w:pPr>
      <w:rPr>
        <w:rFonts w:ascii="Courier New" w:hAnsi="Courier New" w:hint="default"/>
      </w:rPr>
    </w:lvl>
    <w:lvl w:ilvl="2" w:tplc="CE005510">
      <w:start w:val="1"/>
      <w:numFmt w:val="bullet"/>
      <w:lvlText w:val=""/>
      <w:lvlJc w:val="left"/>
      <w:pPr>
        <w:ind w:left="2160" w:hanging="360"/>
      </w:pPr>
      <w:rPr>
        <w:rFonts w:ascii="Wingdings" w:hAnsi="Wingdings" w:hint="default"/>
      </w:rPr>
    </w:lvl>
    <w:lvl w:ilvl="3" w:tplc="D1D69EE0">
      <w:start w:val="1"/>
      <w:numFmt w:val="bullet"/>
      <w:lvlText w:val=""/>
      <w:lvlJc w:val="left"/>
      <w:pPr>
        <w:ind w:left="2880" w:hanging="360"/>
      </w:pPr>
      <w:rPr>
        <w:rFonts w:ascii="Symbol" w:hAnsi="Symbol" w:hint="default"/>
      </w:rPr>
    </w:lvl>
    <w:lvl w:ilvl="4" w:tplc="7CC2AA90">
      <w:start w:val="1"/>
      <w:numFmt w:val="bullet"/>
      <w:lvlText w:val="o"/>
      <w:lvlJc w:val="left"/>
      <w:pPr>
        <w:ind w:left="3600" w:hanging="360"/>
      </w:pPr>
      <w:rPr>
        <w:rFonts w:ascii="Courier New" w:hAnsi="Courier New" w:hint="default"/>
      </w:rPr>
    </w:lvl>
    <w:lvl w:ilvl="5" w:tplc="F80C71B2">
      <w:start w:val="1"/>
      <w:numFmt w:val="bullet"/>
      <w:lvlText w:val=""/>
      <w:lvlJc w:val="left"/>
      <w:pPr>
        <w:ind w:left="4320" w:hanging="360"/>
      </w:pPr>
      <w:rPr>
        <w:rFonts w:ascii="Wingdings" w:hAnsi="Wingdings" w:hint="default"/>
      </w:rPr>
    </w:lvl>
    <w:lvl w:ilvl="6" w:tplc="1534B98E">
      <w:start w:val="1"/>
      <w:numFmt w:val="bullet"/>
      <w:lvlText w:val=""/>
      <w:lvlJc w:val="left"/>
      <w:pPr>
        <w:ind w:left="5040" w:hanging="360"/>
      </w:pPr>
      <w:rPr>
        <w:rFonts w:ascii="Symbol" w:hAnsi="Symbol" w:hint="default"/>
      </w:rPr>
    </w:lvl>
    <w:lvl w:ilvl="7" w:tplc="2E721C84">
      <w:start w:val="1"/>
      <w:numFmt w:val="bullet"/>
      <w:lvlText w:val="o"/>
      <w:lvlJc w:val="left"/>
      <w:pPr>
        <w:ind w:left="5760" w:hanging="360"/>
      </w:pPr>
      <w:rPr>
        <w:rFonts w:ascii="Courier New" w:hAnsi="Courier New" w:hint="default"/>
      </w:rPr>
    </w:lvl>
    <w:lvl w:ilvl="8" w:tplc="64A227A8">
      <w:start w:val="1"/>
      <w:numFmt w:val="bullet"/>
      <w:lvlText w:val=""/>
      <w:lvlJc w:val="left"/>
      <w:pPr>
        <w:ind w:left="6480" w:hanging="360"/>
      </w:pPr>
      <w:rPr>
        <w:rFonts w:ascii="Wingdings" w:hAnsi="Wingdings" w:hint="default"/>
      </w:rPr>
    </w:lvl>
  </w:abstractNum>
  <w:abstractNum w:abstractNumId="17" w15:restartNumberingAfterBreak="0">
    <w:nsid w:val="73280D01"/>
    <w:multiLevelType w:val="hybridMultilevel"/>
    <w:tmpl w:val="45C4FE64"/>
    <w:lvl w:ilvl="0" w:tplc="040829BE">
      <w:start w:val="1"/>
      <w:numFmt w:val="bullet"/>
      <w:lvlText w:val=""/>
      <w:lvlJc w:val="left"/>
      <w:pPr>
        <w:ind w:left="720" w:hanging="360"/>
      </w:pPr>
      <w:rPr>
        <w:rFonts w:ascii="Wingdings" w:hAnsi="Wingdings" w:hint="default"/>
      </w:rPr>
    </w:lvl>
    <w:lvl w:ilvl="1" w:tplc="AD2E4624">
      <w:start w:val="1"/>
      <w:numFmt w:val="bullet"/>
      <w:lvlText w:val="o"/>
      <w:lvlJc w:val="left"/>
      <w:pPr>
        <w:ind w:left="1440" w:hanging="360"/>
      </w:pPr>
      <w:rPr>
        <w:rFonts w:ascii="Courier New" w:hAnsi="Courier New" w:hint="default"/>
      </w:rPr>
    </w:lvl>
    <w:lvl w:ilvl="2" w:tplc="52BA0976">
      <w:start w:val="1"/>
      <w:numFmt w:val="bullet"/>
      <w:lvlText w:val=""/>
      <w:lvlJc w:val="left"/>
      <w:pPr>
        <w:ind w:left="2160" w:hanging="360"/>
      </w:pPr>
      <w:rPr>
        <w:rFonts w:ascii="Wingdings" w:hAnsi="Wingdings" w:hint="default"/>
      </w:rPr>
    </w:lvl>
    <w:lvl w:ilvl="3" w:tplc="48E01182">
      <w:start w:val="1"/>
      <w:numFmt w:val="bullet"/>
      <w:lvlText w:val=""/>
      <w:lvlJc w:val="left"/>
      <w:pPr>
        <w:ind w:left="2880" w:hanging="360"/>
      </w:pPr>
      <w:rPr>
        <w:rFonts w:ascii="Symbol" w:hAnsi="Symbol" w:hint="default"/>
      </w:rPr>
    </w:lvl>
    <w:lvl w:ilvl="4" w:tplc="1C74E348">
      <w:start w:val="1"/>
      <w:numFmt w:val="bullet"/>
      <w:lvlText w:val="o"/>
      <w:lvlJc w:val="left"/>
      <w:pPr>
        <w:ind w:left="3600" w:hanging="360"/>
      </w:pPr>
      <w:rPr>
        <w:rFonts w:ascii="Courier New" w:hAnsi="Courier New" w:hint="default"/>
      </w:rPr>
    </w:lvl>
    <w:lvl w:ilvl="5" w:tplc="EE26A58C">
      <w:start w:val="1"/>
      <w:numFmt w:val="bullet"/>
      <w:lvlText w:val=""/>
      <w:lvlJc w:val="left"/>
      <w:pPr>
        <w:ind w:left="4320" w:hanging="360"/>
      </w:pPr>
      <w:rPr>
        <w:rFonts w:ascii="Wingdings" w:hAnsi="Wingdings" w:hint="default"/>
      </w:rPr>
    </w:lvl>
    <w:lvl w:ilvl="6" w:tplc="860E48B4">
      <w:start w:val="1"/>
      <w:numFmt w:val="bullet"/>
      <w:lvlText w:val=""/>
      <w:lvlJc w:val="left"/>
      <w:pPr>
        <w:ind w:left="5040" w:hanging="360"/>
      </w:pPr>
      <w:rPr>
        <w:rFonts w:ascii="Symbol" w:hAnsi="Symbol" w:hint="default"/>
      </w:rPr>
    </w:lvl>
    <w:lvl w:ilvl="7" w:tplc="A14A4544">
      <w:start w:val="1"/>
      <w:numFmt w:val="bullet"/>
      <w:lvlText w:val="o"/>
      <w:lvlJc w:val="left"/>
      <w:pPr>
        <w:ind w:left="5760" w:hanging="360"/>
      </w:pPr>
      <w:rPr>
        <w:rFonts w:ascii="Courier New" w:hAnsi="Courier New" w:hint="default"/>
      </w:rPr>
    </w:lvl>
    <w:lvl w:ilvl="8" w:tplc="91B8AB8C">
      <w:start w:val="1"/>
      <w:numFmt w:val="bullet"/>
      <w:lvlText w:val=""/>
      <w:lvlJc w:val="left"/>
      <w:pPr>
        <w:ind w:left="6480" w:hanging="360"/>
      </w:pPr>
      <w:rPr>
        <w:rFonts w:ascii="Wingdings" w:hAnsi="Wingdings" w:hint="default"/>
      </w:rPr>
    </w:lvl>
  </w:abstractNum>
  <w:abstractNum w:abstractNumId="18" w15:restartNumberingAfterBreak="0">
    <w:nsid w:val="76403D33"/>
    <w:multiLevelType w:val="hybridMultilevel"/>
    <w:tmpl w:val="2D1E4D98"/>
    <w:lvl w:ilvl="0" w:tplc="1C043800">
      <w:start w:val="1"/>
      <w:numFmt w:val="bullet"/>
      <w:lvlText w:val=""/>
      <w:lvlJc w:val="left"/>
      <w:pPr>
        <w:ind w:left="720" w:hanging="360"/>
      </w:pPr>
      <w:rPr>
        <w:rFonts w:ascii="Wingdings" w:hAnsi="Wingdings" w:hint="default"/>
      </w:rPr>
    </w:lvl>
    <w:lvl w:ilvl="1" w:tplc="E09E9854">
      <w:start w:val="1"/>
      <w:numFmt w:val="bullet"/>
      <w:lvlText w:val="o"/>
      <w:lvlJc w:val="left"/>
      <w:pPr>
        <w:ind w:left="1440" w:hanging="360"/>
      </w:pPr>
      <w:rPr>
        <w:rFonts w:ascii="Courier New" w:hAnsi="Courier New" w:hint="default"/>
      </w:rPr>
    </w:lvl>
    <w:lvl w:ilvl="2" w:tplc="63E6DD42">
      <w:start w:val="1"/>
      <w:numFmt w:val="bullet"/>
      <w:lvlText w:val=""/>
      <w:lvlJc w:val="left"/>
      <w:pPr>
        <w:ind w:left="2160" w:hanging="360"/>
      </w:pPr>
      <w:rPr>
        <w:rFonts w:ascii="Wingdings" w:hAnsi="Wingdings" w:hint="default"/>
      </w:rPr>
    </w:lvl>
    <w:lvl w:ilvl="3" w:tplc="B7829F96">
      <w:start w:val="1"/>
      <w:numFmt w:val="bullet"/>
      <w:lvlText w:val=""/>
      <w:lvlJc w:val="left"/>
      <w:pPr>
        <w:ind w:left="2880" w:hanging="360"/>
      </w:pPr>
      <w:rPr>
        <w:rFonts w:ascii="Symbol" w:hAnsi="Symbol" w:hint="default"/>
      </w:rPr>
    </w:lvl>
    <w:lvl w:ilvl="4" w:tplc="BB9E4FD4">
      <w:start w:val="1"/>
      <w:numFmt w:val="bullet"/>
      <w:lvlText w:val="o"/>
      <w:lvlJc w:val="left"/>
      <w:pPr>
        <w:ind w:left="3600" w:hanging="360"/>
      </w:pPr>
      <w:rPr>
        <w:rFonts w:ascii="Courier New" w:hAnsi="Courier New" w:hint="default"/>
      </w:rPr>
    </w:lvl>
    <w:lvl w:ilvl="5" w:tplc="E52C488A">
      <w:start w:val="1"/>
      <w:numFmt w:val="bullet"/>
      <w:lvlText w:val=""/>
      <w:lvlJc w:val="left"/>
      <w:pPr>
        <w:ind w:left="4320" w:hanging="360"/>
      </w:pPr>
      <w:rPr>
        <w:rFonts w:ascii="Wingdings" w:hAnsi="Wingdings" w:hint="default"/>
      </w:rPr>
    </w:lvl>
    <w:lvl w:ilvl="6" w:tplc="3252DF76">
      <w:start w:val="1"/>
      <w:numFmt w:val="bullet"/>
      <w:lvlText w:val=""/>
      <w:lvlJc w:val="left"/>
      <w:pPr>
        <w:ind w:left="5040" w:hanging="360"/>
      </w:pPr>
      <w:rPr>
        <w:rFonts w:ascii="Symbol" w:hAnsi="Symbol" w:hint="default"/>
      </w:rPr>
    </w:lvl>
    <w:lvl w:ilvl="7" w:tplc="55B69FE6">
      <w:start w:val="1"/>
      <w:numFmt w:val="bullet"/>
      <w:lvlText w:val="o"/>
      <w:lvlJc w:val="left"/>
      <w:pPr>
        <w:ind w:left="5760" w:hanging="360"/>
      </w:pPr>
      <w:rPr>
        <w:rFonts w:ascii="Courier New" w:hAnsi="Courier New" w:hint="default"/>
      </w:rPr>
    </w:lvl>
    <w:lvl w:ilvl="8" w:tplc="C1BCC5E2">
      <w:start w:val="1"/>
      <w:numFmt w:val="bullet"/>
      <w:lvlText w:val=""/>
      <w:lvlJc w:val="left"/>
      <w:pPr>
        <w:ind w:left="6480" w:hanging="360"/>
      </w:pPr>
      <w:rPr>
        <w:rFonts w:ascii="Wingdings" w:hAnsi="Wingdings" w:hint="default"/>
      </w:rPr>
    </w:lvl>
  </w:abstractNum>
  <w:abstractNum w:abstractNumId="19" w15:restartNumberingAfterBreak="0">
    <w:nsid w:val="7AF67EF1"/>
    <w:multiLevelType w:val="hybridMultilevel"/>
    <w:tmpl w:val="71207056"/>
    <w:lvl w:ilvl="0" w:tplc="F7480782">
      <w:start w:val="1"/>
      <w:numFmt w:val="bullet"/>
      <w:lvlText w:val=""/>
      <w:lvlJc w:val="left"/>
      <w:pPr>
        <w:ind w:left="720" w:hanging="360"/>
      </w:pPr>
      <w:rPr>
        <w:rFonts w:ascii="Wingdings" w:hAnsi="Wingdings" w:hint="default"/>
      </w:rPr>
    </w:lvl>
    <w:lvl w:ilvl="1" w:tplc="6FBCDB2C">
      <w:start w:val="1"/>
      <w:numFmt w:val="bullet"/>
      <w:lvlText w:val="o"/>
      <w:lvlJc w:val="left"/>
      <w:pPr>
        <w:ind w:left="1440" w:hanging="360"/>
      </w:pPr>
      <w:rPr>
        <w:rFonts w:ascii="Courier New" w:hAnsi="Courier New" w:hint="default"/>
      </w:rPr>
    </w:lvl>
    <w:lvl w:ilvl="2" w:tplc="A70644E0">
      <w:start w:val="1"/>
      <w:numFmt w:val="bullet"/>
      <w:lvlText w:val=""/>
      <w:lvlJc w:val="left"/>
      <w:pPr>
        <w:ind w:left="2160" w:hanging="360"/>
      </w:pPr>
      <w:rPr>
        <w:rFonts w:ascii="Wingdings" w:hAnsi="Wingdings" w:hint="default"/>
      </w:rPr>
    </w:lvl>
    <w:lvl w:ilvl="3" w:tplc="C5BEA708">
      <w:start w:val="1"/>
      <w:numFmt w:val="bullet"/>
      <w:lvlText w:val=""/>
      <w:lvlJc w:val="left"/>
      <w:pPr>
        <w:ind w:left="2880" w:hanging="360"/>
      </w:pPr>
      <w:rPr>
        <w:rFonts w:ascii="Symbol" w:hAnsi="Symbol" w:hint="default"/>
      </w:rPr>
    </w:lvl>
    <w:lvl w:ilvl="4" w:tplc="6944E2D6">
      <w:start w:val="1"/>
      <w:numFmt w:val="bullet"/>
      <w:lvlText w:val="o"/>
      <w:lvlJc w:val="left"/>
      <w:pPr>
        <w:ind w:left="3600" w:hanging="360"/>
      </w:pPr>
      <w:rPr>
        <w:rFonts w:ascii="Courier New" w:hAnsi="Courier New" w:hint="default"/>
      </w:rPr>
    </w:lvl>
    <w:lvl w:ilvl="5" w:tplc="E790036E">
      <w:start w:val="1"/>
      <w:numFmt w:val="bullet"/>
      <w:lvlText w:val=""/>
      <w:lvlJc w:val="left"/>
      <w:pPr>
        <w:ind w:left="4320" w:hanging="360"/>
      </w:pPr>
      <w:rPr>
        <w:rFonts w:ascii="Wingdings" w:hAnsi="Wingdings" w:hint="default"/>
      </w:rPr>
    </w:lvl>
    <w:lvl w:ilvl="6" w:tplc="E3B8C436">
      <w:start w:val="1"/>
      <w:numFmt w:val="bullet"/>
      <w:lvlText w:val=""/>
      <w:lvlJc w:val="left"/>
      <w:pPr>
        <w:ind w:left="5040" w:hanging="360"/>
      </w:pPr>
      <w:rPr>
        <w:rFonts w:ascii="Symbol" w:hAnsi="Symbol" w:hint="default"/>
      </w:rPr>
    </w:lvl>
    <w:lvl w:ilvl="7" w:tplc="F7F646B4">
      <w:start w:val="1"/>
      <w:numFmt w:val="bullet"/>
      <w:lvlText w:val="o"/>
      <w:lvlJc w:val="left"/>
      <w:pPr>
        <w:ind w:left="5760" w:hanging="360"/>
      </w:pPr>
      <w:rPr>
        <w:rFonts w:ascii="Courier New" w:hAnsi="Courier New" w:hint="default"/>
      </w:rPr>
    </w:lvl>
    <w:lvl w:ilvl="8" w:tplc="FB00CA16">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3"/>
  </w:num>
  <w:num w:numId="4">
    <w:abstractNumId w:val="1"/>
  </w:num>
  <w:num w:numId="5">
    <w:abstractNumId w:val="18"/>
  </w:num>
  <w:num w:numId="6">
    <w:abstractNumId w:val="6"/>
  </w:num>
  <w:num w:numId="7">
    <w:abstractNumId w:val="11"/>
  </w:num>
  <w:num w:numId="8">
    <w:abstractNumId w:val="19"/>
  </w:num>
  <w:num w:numId="9">
    <w:abstractNumId w:val="5"/>
  </w:num>
  <w:num w:numId="10">
    <w:abstractNumId w:val="4"/>
  </w:num>
  <w:num w:numId="11">
    <w:abstractNumId w:val="16"/>
  </w:num>
  <w:num w:numId="12">
    <w:abstractNumId w:val="17"/>
  </w:num>
  <w:num w:numId="13">
    <w:abstractNumId w:val="8"/>
  </w:num>
  <w:num w:numId="14">
    <w:abstractNumId w:val="0"/>
  </w:num>
  <w:num w:numId="15">
    <w:abstractNumId w:val="2"/>
  </w:num>
  <w:num w:numId="16">
    <w:abstractNumId w:val="15"/>
  </w:num>
  <w:num w:numId="17">
    <w:abstractNumId w:val="7"/>
  </w:num>
  <w:num w:numId="18">
    <w:abstractNumId w:val="12"/>
  </w:num>
  <w:num w:numId="19">
    <w:abstractNumId w:val="1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06D"/>
    <w:rsid w:val="000B27E9"/>
    <w:rsid w:val="00145E07"/>
    <w:rsid w:val="0017B462"/>
    <w:rsid w:val="001D15E5"/>
    <w:rsid w:val="0022701C"/>
    <w:rsid w:val="00245E4C"/>
    <w:rsid w:val="002A2ADD"/>
    <w:rsid w:val="002C460B"/>
    <w:rsid w:val="003D5358"/>
    <w:rsid w:val="0041211E"/>
    <w:rsid w:val="004542DC"/>
    <w:rsid w:val="004B48BE"/>
    <w:rsid w:val="00657E41"/>
    <w:rsid w:val="006A2B42"/>
    <w:rsid w:val="007F36EC"/>
    <w:rsid w:val="00801D7C"/>
    <w:rsid w:val="00924419"/>
    <w:rsid w:val="009C49AB"/>
    <w:rsid w:val="00AF5CCF"/>
    <w:rsid w:val="00B21CB4"/>
    <w:rsid w:val="00BB0898"/>
    <w:rsid w:val="00BD58C0"/>
    <w:rsid w:val="00C2204C"/>
    <w:rsid w:val="00C31699"/>
    <w:rsid w:val="00C750C5"/>
    <w:rsid w:val="00CA2B7A"/>
    <w:rsid w:val="00CD4BA1"/>
    <w:rsid w:val="00CD4F5F"/>
    <w:rsid w:val="00D2CAAA"/>
    <w:rsid w:val="00D761C6"/>
    <w:rsid w:val="00DB223B"/>
    <w:rsid w:val="00F73C8E"/>
    <w:rsid w:val="00FD506D"/>
    <w:rsid w:val="011DB843"/>
    <w:rsid w:val="011F99F4"/>
    <w:rsid w:val="01458F39"/>
    <w:rsid w:val="0162796A"/>
    <w:rsid w:val="0182EC6B"/>
    <w:rsid w:val="018DC451"/>
    <w:rsid w:val="01AACA58"/>
    <w:rsid w:val="01F05C56"/>
    <w:rsid w:val="01F57C26"/>
    <w:rsid w:val="02114905"/>
    <w:rsid w:val="025A7D30"/>
    <w:rsid w:val="027FF6B1"/>
    <w:rsid w:val="03167901"/>
    <w:rsid w:val="03362EE1"/>
    <w:rsid w:val="033EEE33"/>
    <w:rsid w:val="03DA9DCC"/>
    <w:rsid w:val="03FC6398"/>
    <w:rsid w:val="041947C9"/>
    <w:rsid w:val="04A217A0"/>
    <w:rsid w:val="04DABE94"/>
    <w:rsid w:val="04E6BBC7"/>
    <w:rsid w:val="05071AAE"/>
    <w:rsid w:val="0535E3E6"/>
    <w:rsid w:val="053B81D0"/>
    <w:rsid w:val="0548E9C7"/>
    <w:rsid w:val="054B59C6"/>
    <w:rsid w:val="054BB53D"/>
    <w:rsid w:val="0553ACE9"/>
    <w:rsid w:val="055446BF"/>
    <w:rsid w:val="0571B58A"/>
    <w:rsid w:val="05886BE7"/>
    <w:rsid w:val="05B357CA"/>
    <w:rsid w:val="05B8F819"/>
    <w:rsid w:val="05EB7CC4"/>
    <w:rsid w:val="060C1AB4"/>
    <w:rsid w:val="062DC430"/>
    <w:rsid w:val="06768EF5"/>
    <w:rsid w:val="0797251B"/>
    <w:rsid w:val="07E1D039"/>
    <w:rsid w:val="07E9EA24"/>
    <w:rsid w:val="07F26CAB"/>
    <w:rsid w:val="08DF8282"/>
    <w:rsid w:val="08F0BDED"/>
    <w:rsid w:val="09220C8E"/>
    <w:rsid w:val="0938844C"/>
    <w:rsid w:val="09574A28"/>
    <w:rsid w:val="096FFF30"/>
    <w:rsid w:val="09AE2FB7"/>
    <w:rsid w:val="09DEC7DA"/>
    <w:rsid w:val="09E9136C"/>
    <w:rsid w:val="0A038A81"/>
    <w:rsid w:val="0A52BAF2"/>
    <w:rsid w:val="0A5C0ABE"/>
    <w:rsid w:val="0A83273E"/>
    <w:rsid w:val="0AFD862A"/>
    <w:rsid w:val="0B272D4A"/>
    <w:rsid w:val="0B306287"/>
    <w:rsid w:val="0B36E9A9"/>
    <w:rsid w:val="0B84E3CD"/>
    <w:rsid w:val="0C4FB711"/>
    <w:rsid w:val="0C673B88"/>
    <w:rsid w:val="0D07B030"/>
    <w:rsid w:val="0D2FE84E"/>
    <w:rsid w:val="0D51615E"/>
    <w:rsid w:val="0DBBCBD0"/>
    <w:rsid w:val="0DD5F68B"/>
    <w:rsid w:val="0DF99843"/>
    <w:rsid w:val="0E47BE9F"/>
    <w:rsid w:val="0E977493"/>
    <w:rsid w:val="0EE13225"/>
    <w:rsid w:val="0EF328F0"/>
    <w:rsid w:val="0F0D4879"/>
    <w:rsid w:val="0F1AE88E"/>
    <w:rsid w:val="0F20799A"/>
    <w:rsid w:val="0F5A4CAA"/>
    <w:rsid w:val="0F6C1D09"/>
    <w:rsid w:val="0FF3A839"/>
    <w:rsid w:val="101CEDF8"/>
    <w:rsid w:val="102B0FB0"/>
    <w:rsid w:val="1053C264"/>
    <w:rsid w:val="105854F0"/>
    <w:rsid w:val="105C87ED"/>
    <w:rsid w:val="10A1D4CE"/>
    <w:rsid w:val="10DF91B6"/>
    <w:rsid w:val="112D1E73"/>
    <w:rsid w:val="1220E166"/>
    <w:rsid w:val="12775FE2"/>
    <w:rsid w:val="127E77D6"/>
    <w:rsid w:val="128EEE5E"/>
    <w:rsid w:val="12BF9DA9"/>
    <w:rsid w:val="12E05225"/>
    <w:rsid w:val="13298A4C"/>
    <w:rsid w:val="13F1BC14"/>
    <w:rsid w:val="14050379"/>
    <w:rsid w:val="14EFA0E4"/>
    <w:rsid w:val="15006A4C"/>
    <w:rsid w:val="151D40B4"/>
    <w:rsid w:val="15695048"/>
    <w:rsid w:val="157C3067"/>
    <w:rsid w:val="158F617B"/>
    <w:rsid w:val="15B17AB2"/>
    <w:rsid w:val="15C49896"/>
    <w:rsid w:val="15F85027"/>
    <w:rsid w:val="16345D60"/>
    <w:rsid w:val="1652D084"/>
    <w:rsid w:val="166C081D"/>
    <w:rsid w:val="168558FF"/>
    <w:rsid w:val="16900319"/>
    <w:rsid w:val="16C3A51D"/>
    <w:rsid w:val="16C3B0EC"/>
    <w:rsid w:val="16CA1372"/>
    <w:rsid w:val="16E9A31B"/>
    <w:rsid w:val="1733E0E8"/>
    <w:rsid w:val="1753BC14"/>
    <w:rsid w:val="175E690B"/>
    <w:rsid w:val="17C043D7"/>
    <w:rsid w:val="17F1AA34"/>
    <w:rsid w:val="17F61ACF"/>
    <w:rsid w:val="17F7C9B2"/>
    <w:rsid w:val="18046D6B"/>
    <w:rsid w:val="185BFE38"/>
    <w:rsid w:val="1891C891"/>
    <w:rsid w:val="18DDD335"/>
    <w:rsid w:val="18EF9D02"/>
    <w:rsid w:val="18FA396C"/>
    <w:rsid w:val="19A3CBD5"/>
    <w:rsid w:val="19CF02EF"/>
    <w:rsid w:val="19F0B1D7"/>
    <w:rsid w:val="1A313117"/>
    <w:rsid w:val="1AA7519C"/>
    <w:rsid w:val="1AC18390"/>
    <w:rsid w:val="1AEBA275"/>
    <w:rsid w:val="1B5B3B26"/>
    <w:rsid w:val="1BC7D5E7"/>
    <w:rsid w:val="1BDECF96"/>
    <w:rsid w:val="1C46AE88"/>
    <w:rsid w:val="1C7512B4"/>
    <w:rsid w:val="1C9BAA6A"/>
    <w:rsid w:val="1C9EA1D9"/>
    <w:rsid w:val="1CE7D209"/>
    <w:rsid w:val="1CF2CF37"/>
    <w:rsid w:val="1CF89F9F"/>
    <w:rsid w:val="1D6EDD1F"/>
    <w:rsid w:val="1DA89A93"/>
    <w:rsid w:val="1DCD5FBC"/>
    <w:rsid w:val="1DF5D3BC"/>
    <w:rsid w:val="1E19EEEB"/>
    <w:rsid w:val="1E4DCF92"/>
    <w:rsid w:val="1EC10AF6"/>
    <w:rsid w:val="1EE7B9FF"/>
    <w:rsid w:val="1F068375"/>
    <w:rsid w:val="1F5C12C0"/>
    <w:rsid w:val="2044BC2A"/>
    <w:rsid w:val="207F242B"/>
    <w:rsid w:val="210FA407"/>
    <w:rsid w:val="21196E71"/>
    <w:rsid w:val="211BCC51"/>
    <w:rsid w:val="216127E7"/>
    <w:rsid w:val="21623BAD"/>
    <w:rsid w:val="21775EC6"/>
    <w:rsid w:val="21B1F4DD"/>
    <w:rsid w:val="220CDEFE"/>
    <w:rsid w:val="223A894C"/>
    <w:rsid w:val="22529B4A"/>
    <w:rsid w:val="22872D2E"/>
    <w:rsid w:val="228F9DFF"/>
    <w:rsid w:val="22C32859"/>
    <w:rsid w:val="2359659B"/>
    <w:rsid w:val="23AE0702"/>
    <w:rsid w:val="243D51AE"/>
    <w:rsid w:val="24A181DB"/>
    <w:rsid w:val="25242EF4"/>
    <w:rsid w:val="25A99925"/>
    <w:rsid w:val="25E7179D"/>
    <w:rsid w:val="25F77477"/>
    <w:rsid w:val="26166177"/>
    <w:rsid w:val="26A93A1A"/>
    <w:rsid w:val="26E153C1"/>
    <w:rsid w:val="26EE8C0E"/>
    <w:rsid w:val="26F3874B"/>
    <w:rsid w:val="26F72D32"/>
    <w:rsid w:val="2724864A"/>
    <w:rsid w:val="275CB741"/>
    <w:rsid w:val="27DBFA6D"/>
    <w:rsid w:val="27F8B8C2"/>
    <w:rsid w:val="282DC622"/>
    <w:rsid w:val="28536288"/>
    <w:rsid w:val="28536C76"/>
    <w:rsid w:val="287DD819"/>
    <w:rsid w:val="2885C190"/>
    <w:rsid w:val="28D1F74E"/>
    <w:rsid w:val="2945CBA0"/>
    <w:rsid w:val="294E0239"/>
    <w:rsid w:val="296D7C77"/>
    <w:rsid w:val="29AAB2D8"/>
    <w:rsid w:val="29F87363"/>
    <w:rsid w:val="2A12C619"/>
    <w:rsid w:val="2A262CD0"/>
    <w:rsid w:val="2A628AA4"/>
    <w:rsid w:val="2A6D4B77"/>
    <w:rsid w:val="2A8B48DF"/>
    <w:rsid w:val="2AD627C4"/>
    <w:rsid w:val="2AE66DC9"/>
    <w:rsid w:val="2B401647"/>
    <w:rsid w:val="2BCA769C"/>
    <w:rsid w:val="2BCCBE51"/>
    <w:rsid w:val="2C5E7EF8"/>
    <w:rsid w:val="2CFCD6E0"/>
    <w:rsid w:val="2D44CB53"/>
    <w:rsid w:val="2D928A29"/>
    <w:rsid w:val="2DD626CD"/>
    <w:rsid w:val="2DE126FC"/>
    <w:rsid w:val="2DFBC864"/>
    <w:rsid w:val="2E0BDD73"/>
    <w:rsid w:val="2E108A6E"/>
    <w:rsid w:val="2E22DEBA"/>
    <w:rsid w:val="2E6BC158"/>
    <w:rsid w:val="2EA1AF24"/>
    <w:rsid w:val="2EA79CCC"/>
    <w:rsid w:val="2EBC909F"/>
    <w:rsid w:val="2F3BF9E6"/>
    <w:rsid w:val="2F423FD9"/>
    <w:rsid w:val="2FB4E15A"/>
    <w:rsid w:val="2FBBFE1C"/>
    <w:rsid w:val="2FD68AD6"/>
    <w:rsid w:val="2FF8BEA4"/>
    <w:rsid w:val="3049F521"/>
    <w:rsid w:val="305AF009"/>
    <w:rsid w:val="30A805D2"/>
    <w:rsid w:val="315BC3A6"/>
    <w:rsid w:val="318B20E1"/>
    <w:rsid w:val="31CF4B93"/>
    <w:rsid w:val="31F823AD"/>
    <w:rsid w:val="3201A9CE"/>
    <w:rsid w:val="32040541"/>
    <w:rsid w:val="32894ADA"/>
    <w:rsid w:val="32A5BC8B"/>
    <w:rsid w:val="32AD46E6"/>
    <w:rsid w:val="32E6F8AE"/>
    <w:rsid w:val="32EB1A98"/>
    <w:rsid w:val="331BD544"/>
    <w:rsid w:val="331FACE4"/>
    <w:rsid w:val="33314077"/>
    <w:rsid w:val="335731B0"/>
    <w:rsid w:val="3360DC21"/>
    <w:rsid w:val="336AD0A7"/>
    <w:rsid w:val="337A047E"/>
    <w:rsid w:val="33A37BC0"/>
    <w:rsid w:val="33BA033F"/>
    <w:rsid w:val="33E1408C"/>
    <w:rsid w:val="33F66D7C"/>
    <w:rsid w:val="34251B3B"/>
    <w:rsid w:val="346531A7"/>
    <w:rsid w:val="349A418B"/>
    <w:rsid w:val="34DC161C"/>
    <w:rsid w:val="350FF465"/>
    <w:rsid w:val="359D2E4B"/>
    <w:rsid w:val="35B520E1"/>
    <w:rsid w:val="3631E216"/>
    <w:rsid w:val="363AAFC5"/>
    <w:rsid w:val="365CA26A"/>
    <w:rsid w:val="368F3153"/>
    <w:rsid w:val="3694B3A5"/>
    <w:rsid w:val="36E9FD86"/>
    <w:rsid w:val="3708D82F"/>
    <w:rsid w:val="37C1343D"/>
    <w:rsid w:val="3831D458"/>
    <w:rsid w:val="38AB2FA7"/>
    <w:rsid w:val="38D8BC91"/>
    <w:rsid w:val="39287054"/>
    <w:rsid w:val="396B68F7"/>
    <w:rsid w:val="3A47D6F0"/>
    <w:rsid w:val="3A4F5532"/>
    <w:rsid w:val="3A6E3B7D"/>
    <w:rsid w:val="3B5DB4DE"/>
    <w:rsid w:val="3B98E1E5"/>
    <w:rsid w:val="3BA1CD79"/>
    <w:rsid w:val="3BE70D96"/>
    <w:rsid w:val="3BF2E787"/>
    <w:rsid w:val="3C36EBF9"/>
    <w:rsid w:val="3CCEB98A"/>
    <w:rsid w:val="3D5D196F"/>
    <w:rsid w:val="3E3075C1"/>
    <w:rsid w:val="3E596B2F"/>
    <w:rsid w:val="3EE77D76"/>
    <w:rsid w:val="3EEB0DB9"/>
    <w:rsid w:val="3F028CE7"/>
    <w:rsid w:val="3F4EF919"/>
    <w:rsid w:val="400BB51F"/>
    <w:rsid w:val="409269C1"/>
    <w:rsid w:val="40F976B8"/>
    <w:rsid w:val="4164200D"/>
    <w:rsid w:val="41D01745"/>
    <w:rsid w:val="4261405A"/>
    <w:rsid w:val="43BBD15B"/>
    <w:rsid w:val="4444492A"/>
    <w:rsid w:val="4499CD66"/>
    <w:rsid w:val="44BDCD76"/>
    <w:rsid w:val="45D1161A"/>
    <w:rsid w:val="45DC3255"/>
    <w:rsid w:val="45EA1965"/>
    <w:rsid w:val="4606933F"/>
    <w:rsid w:val="46208546"/>
    <w:rsid w:val="46D5594B"/>
    <w:rsid w:val="46F63246"/>
    <w:rsid w:val="4700B481"/>
    <w:rsid w:val="475133AA"/>
    <w:rsid w:val="4764E958"/>
    <w:rsid w:val="479EFB41"/>
    <w:rsid w:val="47EC8F30"/>
    <w:rsid w:val="4801F7A9"/>
    <w:rsid w:val="48B0C6FE"/>
    <w:rsid w:val="48D5B7FE"/>
    <w:rsid w:val="49835512"/>
    <w:rsid w:val="499940F5"/>
    <w:rsid w:val="499B7E6C"/>
    <w:rsid w:val="4AD74B7D"/>
    <w:rsid w:val="4B463757"/>
    <w:rsid w:val="4B636ED8"/>
    <w:rsid w:val="4BDD6D1F"/>
    <w:rsid w:val="4BE927FF"/>
    <w:rsid w:val="4C238962"/>
    <w:rsid w:val="4C93230E"/>
    <w:rsid w:val="4C9B38F2"/>
    <w:rsid w:val="4D15A63A"/>
    <w:rsid w:val="4D34BFEC"/>
    <w:rsid w:val="4D933DF3"/>
    <w:rsid w:val="4E21BE5D"/>
    <w:rsid w:val="4E4872EF"/>
    <w:rsid w:val="4E84FDF5"/>
    <w:rsid w:val="4E982AD4"/>
    <w:rsid w:val="4EAE1BBF"/>
    <w:rsid w:val="4EAE4F28"/>
    <w:rsid w:val="4EBDDC7D"/>
    <w:rsid w:val="4EBEE733"/>
    <w:rsid w:val="4EC955F8"/>
    <w:rsid w:val="4EF7CC48"/>
    <w:rsid w:val="4F86649C"/>
    <w:rsid w:val="4FF13D84"/>
    <w:rsid w:val="4FF8A6FB"/>
    <w:rsid w:val="50099625"/>
    <w:rsid w:val="5016789D"/>
    <w:rsid w:val="508F6392"/>
    <w:rsid w:val="511395B4"/>
    <w:rsid w:val="51217363"/>
    <w:rsid w:val="513DA8F9"/>
    <w:rsid w:val="5142F7A2"/>
    <w:rsid w:val="514D1922"/>
    <w:rsid w:val="5197EDAD"/>
    <w:rsid w:val="51B0DB7F"/>
    <w:rsid w:val="51BE8E61"/>
    <w:rsid w:val="51D95650"/>
    <w:rsid w:val="51D9C55B"/>
    <w:rsid w:val="523C6778"/>
    <w:rsid w:val="525D4209"/>
    <w:rsid w:val="529DA32E"/>
    <w:rsid w:val="52A9E8AA"/>
    <w:rsid w:val="52E44976"/>
    <w:rsid w:val="52F35229"/>
    <w:rsid w:val="536ED15B"/>
    <w:rsid w:val="53F04C42"/>
    <w:rsid w:val="53F4F3D9"/>
    <w:rsid w:val="54A5BA36"/>
    <w:rsid w:val="54EE43FB"/>
    <w:rsid w:val="5508D0B5"/>
    <w:rsid w:val="556939E2"/>
    <w:rsid w:val="55AEB1F4"/>
    <w:rsid w:val="55D8EF0A"/>
    <w:rsid w:val="55E62A54"/>
    <w:rsid w:val="568677F6"/>
    <w:rsid w:val="56978E4D"/>
    <w:rsid w:val="56A63B16"/>
    <w:rsid w:val="570DC117"/>
    <w:rsid w:val="571B2BF2"/>
    <w:rsid w:val="575CC267"/>
    <w:rsid w:val="57DD97C2"/>
    <w:rsid w:val="5824BA5F"/>
    <w:rsid w:val="58C6ADB8"/>
    <w:rsid w:val="592FF381"/>
    <w:rsid w:val="59785FF0"/>
    <w:rsid w:val="599157AD"/>
    <w:rsid w:val="599BBEB9"/>
    <w:rsid w:val="5A6AD08F"/>
    <w:rsid w:val="5A79B908"/>
    <w:rsid w:val="5AE85842"/>
    <w:rsid w:val="5B0982BB"/>
    <w:rsid w:val="5B48EF84"/>
    <w:rsid w:val="5B5021D7"/>
    <w:rsid w:val="5B6C9388"/>
    <w:rsid w:val="5B7CB9D0"/>
    <w:rsid w:val="5C22B062"/>
    <w:rsid w:val="5C64E286"/>
    <w:rsid w:val="5C94DFE2"/>
    <w:rsid w:val="5C9F3B95"/>
    <w:rsid w:val="5CAE4B5D"/>
    <w:rsid w:val="5CD9A650"/>
    <w:rsid w:val="5CE6F0AB"/>
    <w:rsid w:val="5D0D41A5"/>
    <w:rsid w:val="5D2D7A92"/>
    <w:rsid w:val="5D3115FE"/>
    <w:rsid w:val="5D63CF51"/>
    <w:rsid w:val="5DE6CE0E"/>
    <w:rsid w:val="5E88B240"/>
    <w:rsid w:val="5EB6981B"/>
    <w:rsid w:val="5F64B823"/>
    <w:rsid w:val="5FB6083A"/>
    <w:rsid w:val="5FDCF3DE"/>
    <w:rsid w:val="603EB28B"/>
    <w:rsid w:val="610A66DA"/>
    <w:rsid w:val="610BA221"/>
    <w:rsid w:val="61152A26"/>
    <w:rsid w:val="616272FF"/>
    <w:rsid w:val="619EF421"/>
    <w:rsid w:val="61AB1A60"/>
    <w:rsid w:val="61BDB750"/>
    <w:rsid w:val="61CEE2A8"/>
    <w:rsid w:val="61DC1D26"/>
    <w:rsid w:val="6207C897"/>
    <w:rsid w:val="623B0DB7"/>
    <w:rsid w:val="6245F23B"/>
    <w:rsid w:val="629F74CB"/>
    <w:rsid w:val="6303F141"/>
    <w:rsid w:val="63117271"/>
    <w:rsid w:val="638895E5"/>
    <w:rsid w:val="63A8306F"/>
    <w:rsid w:val="64140D5C"/>
    <w:rsid w:val="64156A0A"/>
    <w:rsid w:val="64192F26"/>
    <w:rsid w:val="644342E3"/>
    <w:rsid w:val="64C494D4"/>
    <w:rsid w:val="64E862B2"/>
    <w:rsid w:val="650D96CA"/>
    <w:rsid w:val="6542A295"/>
    <w:rsid w:val="65502E33"/>
    <w:rsid w:val="655979B4"/>
    <w:rsid w:val="65726EB2"/>
    <w:rsid w:val="65B1ABE3"/>
    <w:rsid w:val="65EDF136"/>
    <w:rsid w:val="66942871"/>
    <w:rsid w:val="66C11E66"/>
    <w:rsid w:val="66C4B162"/>
    <w:rsid w:val="6713C9F6"/>
    <w:rsid w:val="6769375B"/>
    <w:rsid w:val="676B1776"/>
    <w:rsid w:val="679C848A"/>
    <w:rsid w:val="67A9E11E"/>
    <w:rsid w:val="67B9A71F"/>
    <w:rsid w:val="68883B7F"/>
    <w:rsid w:val="68AB206C"/>
    <w:rsid w:val="69545C87"/>
    <w:rsid w:val="6A42B74D"/>
    <w:rsid w:val="6A4CF0A5"/>
    <w:rsid w:val="6A514F31"/>
    <w:rsid w:val="6A585933"/>
    <w:rsid w:val="6A5869B5"/>
    <w:rsid w:val="6AA11559"/>
    <w:rsid w:val="6C0ECDAF"/>
    <w:rsid w:val="6CAAD110"/>
    <w:rsid w:val="6CB86797"/>
    <w:rsid w:val="6CBD4CE5"/>
    <w:rsid w:val="6D2C6B1F"/>
    <w:rsid w:val="6D4377E7"/>
    <w:rsid w:val="6D7CB6ED"/>
    <w:rsid w:val="6D91B196"/>
    <w:rsid w:val="6EE53B10"/>
    <w:rsid w:val="6EFAE384"/>
    <w:rsid w:val="6F2BCA56"/>
    <w:rsid w:val="6F3D5ADC"/>
    <w:rsid w:val="6F4AA537"/>
    <w:rsid w:val="707A57D8"/>
    <w:rsid w:val="7089EA3F"/>
    <w:rsid w:val="70A99E05"/>
    <w:rsid w:val="71068E61"/>
    <w:rsid w:val="7117C938"/>
    <w:rsid w:val="713CC41D"/>
    <w:rsid w:val="7140DCD1"/>
    <w:rsid w:val="71A6AE49"/>
    <w:rsid w:val="71CD55BB"/>
    <w:rsid w:val="71F84099"/>
    <w:rsid w:val="720DBCFD"/>
    <w:rsid w:val="7267582F"/>
    <w:rsid w:val="727E7EA4"/>
    <w:rsid w:val="734FD8F8"/>
    <w:rsid w:val="735DDD0A"/>
    <w:rsid w:val="7369261C"/>
    <w:rsid w:val="736ACABB"/>
    <w:rsid w:val="73C79427"/>
    <w:rsid w:val="7442137C"/>
    <w:rsid w:val="744B4E65"/>
    <w:rsid w:val="74582B66"/>
    <w:rsid w:val="74873A4C"/>
    <w:rsid w:val="748E2329"/>
    <w:rsid w:val="74ADF885"/>
    <w:rsid w:val="7500CC72"/>
    <w:rsid w:val="759CCE36"/>
    <w:rsid w:val="75AB8262"/>
    <w:rsid w:val="75B61F66"/>
    <w:rsid w:val="75BF9212"/>
    <w:rsid w:val="75DAD36A"/>
    <w:rsid w:val="75DECBBC"/>
    <w:rsid w:val="76987692"/>
    <w:rsid w:val="77021175"/>
    <w:rsid w:val="77A88BA8"/>
    <w:rsid w:val="784FFF83"/>
    <w:rsid w:val="78BA714E"/>
    <w:rsid w:val="78D47FB7"/>
    <w:rsid w:val="78E1B6CA"/>
    <w:rsid w:val="7914E42B"/>
    <w:rsid w:val="7933AE76"/>
    <w:rsid w:val="79C66F8F"/>
    <w:rsid w:val="79EBCFE4"/>
    <w:rsid w:val="79F74E95"/>
    <w:rsid w:val="79F7FDF7"/>
    <w:rsid w:val="7A705018"/>
    <w:rsid w:val="7AC2BB84"/>
    <w:rsid w:val="7B3D8F90"/>
    <w:rsid w:val="7BBBF710"/>
    <w:rsid w:val="7C0FFFE2"/>
    <w:rsid w:val="7C82A100"/>
    <w:rsid w:val="7CE82F61"/>
    <w:rsid w:val="7D36B9FF"/>
    <w:rsid w:val="7D3FB283"/>
    <w:rsid w:val="7D8F02D5"/>
    <w:rsid w:val="7DA41635"/>
    <w:rsid w:val="7DA4B0A4"/>
    <w:rsid w:val="7E46328E"/>
    <w:rsid w:val="7E79AEC6"/>
    <w:rsid w:val="7E7FEC66"/>
    <w:rsid w:val="7ECABFB8"/>
    <w:rsid w:val="7F0AC911"/>
    <w:rsid w:val="7F0AD970"/>
    <w:rsid w:val="7F2D45F0"/>
    <w:rsid w:val="7F9C0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F69E1"/>
  <w15:chartTrackingRefBased/>
  <w15:docId w15:val="{79CA5EA1-3F1E-4B06-95B2-573EDE8BD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D50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D50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D506D"/>
  </w:style>
  <w:style w:type="character" w:customStyle="1" w:styleId="eop">
    <w:name w:val="eop"/>
    <w:basedOn w:val="DefaultParagraphFont"/>
    <w:rsid w:val="00FD506D"/>
  </w:style>
  <w:style w:type="character" w:customStyle="1" w:styleId="Heading2Char">
    <w:name w:val="Heading 2 Char"/>
    <w:basedOn w:val="DefaultParagraphFont"/>
    <w:link w:val="Heading2"/>
    <w:uiPriority w:val="9"/>
    <w:rsid w:val="00FD506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D506D"/>
    <w:pPr>
      <w:ind w:left="720"/>
      <w:contextualSpacing/>
    </w:pPr>
  </w:style>
  <w:style w:type="paragraph" w:styleId="EndnoteText">
    <w:name w:val="endnote text"/>
    <w:basedOn w:val="Normal"/>
    <w:link w:val="EndnoteTextChar"/>
    <w:uiPriority w:val="99"/>
    <w:semiHidden/>
    <w:unhideWhenUsed/>
    <w:rsid w:val="00FD506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D506D"/>
    <w:rPr>
      <w:sz w:val="20"/>
      <w:szCs w:val="20"/>
    </w:rPr>
  </w:style>
  <w:style w:type="character" w:styleId="EndnoteReference">
    <w:name w:val="endnote reference"/>
    <w:basedOn w:val="DefaultParagraphFont"/>
    <w:uiPriority w:val="99"/>
    <w:semiHidden/>
    <w:unhideWhenUsed/>
    <w:rsid w:val="00FD506D"/>
    <w:rPr>
      <w:vertAlign w:val="superscript"/>
    </w:rPr>
  </w:style>
  <w:style w:type="character" w:styleId="Hyperlink">
    <w:name w:val="Hyperlink"/>
    <w:basedOn w:val="DefaultParagraphFont"/>
    <w:uiPriority w:val="99"/>
    <w:unhideWhenUsed/>
    <w:rsid w:val="002C460B"/>
    <w:rPr>
      <w:color w:val="0563C1" w:themeColor="hyperlink"/>
      <w:u w:val="single"/>
    </w:rPr>
  </w:style>
  <w:style w:type="character" w:styleId="UnresolvedMention">
    <w:name w:val="Unresolved Mention"/>
    <w:basedOn w:val="DefaultParagraphFont"/>
    <w:uiPriority w:val="99"/>
    <w:semiHidden/>
    <w:unhideWhenUsed/>
    <w:rsid w:val="002C460B"/>
    <w:rPr>
      <w:color w:val="605E5C"/>
      <w:shd w:val="clear" w:color="auto" w:fill="E1DFDD"/>
    </w:rPr>
  </w:style>
  <w:style w:type="paragraph" w:styleId="Header">
    <w:name w:val="header"/>
    <w:basedOn w:val="Normal"/>
    <w:link w:val="HeaderChar"/>
    <w:uiPriority w:val="99"/>
    <w:unhideWhenUsed/>
    <w:rsid w:val="00B21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CB4"/>
  </w:style>
  <w:style w:type="paragraph" w:styleId="Footer">
    <w:name w:val="footer"/>
    <w:basedOn w:val="Normal"/>
    <w:link w:val="FooterChar"/>
    <w:uiPriority w:val="99"/>
    <w:unhideWhenUsed/>
    <w:rsid w:val="00B21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981423">
      <w:bodyDiv w:val="1"/>
      <w:marLeft w:val="0"/>
      <w:marRight w:val="0"/>
      <w:marTop w:val="0"/>
      <w:marBottom w:val="0"/>
      <w:divBdr>
        <w:top w:val="none" w:sz="0" w:space="0" w:color="auto"/>
        <w:left w:val="none" w:sz="0" w:space="0" w:color="auto"/>
        <w:bottom w:val="none" w:sz="0" w:space="0" w:color="auto"/>
        <w:right w:val="none" w:sz="0" w:space="0" w:color="auto"/>
      </w:divBdr>
      <w:divsChild>
        <w:div w:id="674840121">
          <w:marLeft w:val="0"/>
          <w:marRight w:val="0"/>
          <w:marTop w:val="0"/>
          <w:marBottom w:val="0"/>
          <w:divBdr>
            <w:top w:val="none" w:sz="0" w:space="0" w:color="auto"/>
            <w:left w:val="none" w:sz="0" w:space="0" w:color="auto"/>
            <w:bottom w:val="none" w:sz="0" w:space="0" w:color="auto"/>
            <w:right w:val="none" w:sz="0" w:space="0" w:color="auto"/>
          </w:divBdr>
        </w:div>
        <w:div w:id="389698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vaccinesafety/pdf/VAERS_FactSheet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vaccines/pregnancy/hcp-toolkit/pertussis-pregnancy-research.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vaccines/pregnancy/hcp-toolkit/flu-vaccine-pregnancy-research.html" TargetMode="External"/><Relationship Id="rId5" Type="http://schemas.openxmlformats.org/officeDocument/2006/relationships/webSettings" Target="webSettings.xml"/><Relationship Id="rId10" Type="http://schemas.openxmlformats.org/officeDocument/2006/relationships/hyperlink" Target="https://www.cdc.gov/vaccinesafety/ensuringsafety/monitoring/cisa/index.html" TargetMode="External"/><Relationship Id="rId4" Type="http://schemas.openxmlformats.org/officeDocument/2006/relationships/settings" Target="settings.xml"/><Relationship Id="rId9" Type="http://schemas.openxmlformats.org/officeDocument/2006/relationships/hyperlink" Target="https://www.cdc.gov/vaccinesafety/ensuringsafety/monitoring/vsd/index.html"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3" Type="http://schemas.openxmlformats.org/officeDocument/2006/relationships/hyperlink" Target="http://dx.doi.org/10.15585/mmwr.mm6942a1" TargetMode="External"/><Relationship Id="rId18" Type="http://schemas.openxmlformats.org/officeDocument/2006/relationships/hyperlink" Target="https://www.cdc.gov/vaccines/vac-gen/whatifstop.htm" TargetMode="External"/><Relationship Id="rId26" Type="http://schemas.openxmlformats.org/officeDocument/2006/relationships/hyperlink" Target="https://www.legis.nd.gov/cencode/t23c01.pdf" TargetMode="External"/><Relationship Id="rId39" Type="http://schemas.openxmlformats.org/officeDocument/2006/relationships/hyperlink" Target="https://www.immunize.org/laws/laws-exemptions.asp" TargetMode="External"/><Relationship Id="rId21" Type="http://schemas.openxmlformats.org/officeDocument/2006/relationships/hyperlink" Target="https://www.ndhealth.gov/Immunize/Documents/ChildCare/ChildcareRequirements.pdf" TargetMode="External"/><Relationship Id="rId34" Type="http://schemas.openxmlformats.org/officeDocument/2006/relationships/hyperlink" Target="https://www.autismspeaks.org/what-causes-autism" TargetMode="External"/><Relationship Id="rId42" Type="http://schemas.openxmlformats.org/officeDocument/2006/relationships/hyperlink" Target="https://www.cdc.gov/flu/professionals/healthcareworkers.htm" TargetMode="External"/><Relationship Id="rId7" Type="http://schemas.openxmlformats.org/officeDocument/2006/relationships/hyperlink" Target="https://www.cdc.gov/vaccinesafety/ensuringsafety/monitoring/vsd/index.html" TargetMode="External"/><Relationship Id="rId2" Type="http://schemas.openxmlformats.org/officeDocument/2006/relationships/hyperlink" Target="https://www.who.int/news-room/q-a-detail/does-polio-still-exist-is-it-curable" TargetMode="External"/><Relationship Id="rId16" Type="http://schemas.openxmlformats.org/officeDocument/2006/relationships/hyperlink" Target="https://vaccinateyourfamily.org/why-vaccinate/vaccine-benefits/community-immunity/" TargetMode="External"/><Relationship Id="rId20" Type="http://schemas.openxmlformats.org/officeDocument/2006/relationships/hyperlink" Target="https://www.cdc.gov/vaccines/imz-managers/laws/state-reqs.html" TargetMode="External"/><Relationship Id="rId29" Type="http://schemas.openxmlformats.org/officeDocument/2006/relationships/hyperlink" Target="https://www.uspharmacist.com/article/the-package-insert" TargetMode="External"/><Relationship Id="rId41" Type="http://schemas.openxmlformats.org/officeDocument/2006/relationships/hyperlink" Target="https://www.cdc.gov/vaccines/hcp/admin/storage/providers-role-vacc-admin-storage.html" TargetMode="External"/><Relationship Id="rId1" Type="http://schemas.openxmlformats.org/officeDocument/2006/relationships/hyperlink" Target="https://www.cdc.gov/smallpox/history/history.html" TargetMode="External"/><Relationship Id="rId6" Type="http://schemas.openxmlformats.org/officeDocument/2006/relationships/hyperlink" Target="https://vaers.hhs.gov/about.html" TargetMode="External"/><Relationship Id="rId11" Type="http://schemas.openxmlformats.org/officeDocument/2006/relationships/hyperlink" Target="https://www.cdc.gov/vaccines/programs/vfc/protecting-children.html" TargetMode="External"/><Relationship Id="rId24" Type="http://schemas.openxmlformats.org/officeDocument/2006/relationships/hyperlink" Target="https://www.cdc.gov/vaccines/imz-managers/coverage/schoolvaxview/data-reports/exemptions-trend/index.html" TargetMode="External"/><Relationship Id="rId32" Type="http://schemas.openxmlformats.org/officeDocument/2006/relationships/hyperlink" Target="https://www.theatlantic.com/health/archive/2019/05/vaccine-safety-program/589354/" TargetMode="External"/><Relationship Id="rId37" Type="http://schemas.openxmlformats.org/officeDocument/2006/relationships/hyperlink" Target="https://www.cdc.gov/vaccines/parents/ingredients.html" TargetMode="External"/><Relationship Id="rId40" Type="http://schemas.openxmlformats.org/officeDocument/2006/relationships/hyperlink" Target="https://www.chop.edu/centers-programs/vaccine-education-center/vaccine-safety-references" TargetMode="External"/><Relationship Id="rId5" Type="http://schemas.openxmlformats.org/officeDocument/2006/relationships/hyperlink" Target="https://www.cdc.gov/vaccines/hcp/conversations/downloads/vacsafe-ensuring-color-office.pdf" TargetMode="External"/><Relationship Id="rId15" Type="http://schemas.openxmlformats.org/officeDocument/2006/relationships/hyperlink" Target="https://www.vaccines.gov/basics/work/protection" TargetMode="External"/><Relationship Id="rId23" Type="http://schemas.openxmlformats.org/officeDocument/2006/relationships/hyperlink" Target="https://www.cdc.gov/vaccines/imz-managers/coverage/schoolvaxview/data-reports/vacc-coverage.html" TargetMode="External"/><Relationship Id="rId28" Type="http://schemas.openxmlformats.org/officeDocument/2006/relationships/hyperlink" Target="https://www.immunize.org/vis/" TargetMode="External"/><Relationship Id="rId36" Type="http://schemas.openxmlformats.org/officeDocument/2006/relationships/hyperlink" Target="https://www.verywellhealth.com/vaccine-additives-and-preservatives-2633691" TargetMode="External"/><Relationship Id="rId10" Type="http://schemas.openxmlformats.org/officeDocument/2006/relationships/hyperlink" Target="https://vaccinateyourfamily.org/why-vaccinate/vaccine-benefits/costs-of-disease-outbreaks/" TargetMode="External"/><Relationship Id="rId19" Type="http://schemas.openxmlformats.org/officeDocument/2006/relationships/hyperlink" Target="https://www.ncsl.org/research/health/school-immunization-exemption-state-laws.aspx" TargetMode="External"/><Relationship Id="rId31" Type="http://schemas.openxmlformats.org/officeDocument/2006/relationships/hyperlink" Target="https://www.hrsa.gov/vaccine-compensation/index.html" TargetMode="External"/><Relationship Id="rId4" Type="http://schemas.openxmlformats.org/officeDocument/2006/relationships/hyperlink" Target="https://doi.org/10.17226/13563" TargetMode="External"/><Relationship Id="rId9" Type="http://schemas.openxmlformats.org/officeDocument/2006/relationships/hyperlink" Target="https://www.cdc.gov/coronavirus/2019-ncov/vaccines/safety/vsafe.html" TargetMode="External"/><Relationship Id="rId14" Type="http://schemas.openxmlformats.org/officeDocument/2006/relationships/hyperlink" Target="https://asm.org/ASM/media/Policy-and-Advocacy/asmrasurvey18.pdf" TargetMode="External"/><Relationship Id="rId22" Type="http://schemas.openxmlformats.org/officeDocument/2006/relationships/hyperlink" Target="https://www.ndhealth.gov/Immunize/Documents/ChildCare/ChildcareRequirements.pdf" TargetMode="External"/><Relationship Id="rId27" Type="http://schemas.openxmlformats.org/officeDocument/2006/relationships/hyperlink" Target="https://immunize.org/catg.d/p2027.pdf" TargetMode="External"/><Relationship Id="rId30" Type="http://schemas.openxmlformats.org/officeDocument/2006/relationships/hyperlink" Target="https://www.cdc.gov/vaccines/pubs/pinkbook/downloads/appendices/d/vicp.pdf" TargetMode="External"/><Relationship Id="rId35" Type="http://schemas.openxmlformats.org/officeDocument/2006/relationships/hyperlink" Target="https://www.cdc.gov/vaccinesafety/concerns/sids.html" TargetMode="External"/><Relationship Id="rId43" Type="http://schemas.openxmlformats.org/officeDocument/2006/relationships/hyperlink" Target="https://www.cdc.gov/phlp/publications/topic/vaccinationlaws.html" TargetMode="External"/><Relationship Id="rId8" Type="http://schemas.openxmlformats.org/officeDocument/2006/relationships/hyperlink" Target="https://www.cdc.gov/vaccinesafety/ensuringsafety/monitoring/cisa/index.html" TargetMode="External"/><Relationship Id="rId3" Type="http://schemas.openxmlformats.org/officeDocument/2006/relationships/hyperlink" Target="https://www.cdc.gov/vaccines/programs/vfc/protecting-children.html" TargetMode="External"/><Relationship Id="rId12" Type="http://schemas.openxmlformats.org/officeDocument/2006/relationships/hyperlink" Target="https://www.health.state.mn.us/news/pressrel/2017/measles082517.html" TargetMode="External"/><Relationship Id="rId17" Type="http://schemas.openxmlformats.org/officeDocument/2006/relationships/hyperlink" Target="https://www.who.int/news-room/feature-stories/detail/how-do-vaccines-work" TargetMode="External"/><Relationship Id="rId25" Type="http://schemas.openxmlformats.org/officeDocument/2006/relationships/hyperlink" Target="https://www.ncsl.org/research/health/school-immunization-exemption-state-laws.aspx" TargetMode="External"/><Relationship Id="rId33" Type="http://schemas.openxmlformats.org/officeDocument/2006/relationships/hyperlink" Target="https://www.healthychildren.org/English/safety-prevention/immunizations/Pages/Vaccine-Studies-Examine-the-Evidence.aspx" TargetMode="External"/><Relationship Id="rId38" Type="http://schemas.openxmlformats.org/officeDocument/2006/relationships/hyperlink" Target="https://www.acog.org/programs/immunization-for-women/activities-initiatives/immunization-for-pregnant-women-a-call-to-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81C27-22F3-44B9-8BC9-9DF31F9FD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2400</Words>
  <Characters>13682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Dybsand</dc:creator>
  <cp:keywords/>
  <dc:description/>
  <cp:lastModifiedBy>Kylie Hall</cp:lastModifiedBy>
  <cp:revision>3</cp:revision>
  <dcterms:created xsi:type="dcterms:W3CDTF">2021-02-02T18:01:00Z</dcterms:created>
  <dcterms:modified xsi:type="dcterms:W3CDTF">2021-02-02T18:56:00Z</dcterms:modified>
</cp:coreProperties>
</file>